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jc w:val="center"/>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Львівський національний університет імені Івана Франка</w:t>
      </w:r>
    </w:p>
    <w:p>
      <w:pPr>
        <w:spacing w:after="200" w:line="276" w:lineRule="auto"/>
        <w:jc w:val="center"/>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Кафедра міжкультурної комунікації та перекладу</w:t>
      </w:r>
    </w:p>
    <w:p>
      <w:pPr>
        <w:spacing w:after="200" w:line="276" w:lineRule="auto"/>
        <w:jc w:val="center"/>
        <w:rPr>
          <w:rFonts w:ascii="Times New Roman" w:hAnsi="Times New Roman" w:eastAsia="Times New Roman" w:cs="Times New Roman"/>
          <w:color w:val="000000" w:themeColor="text1"/>
          <w:sz w:val="28"/>
          <w:szCs w:val="28"/>
          <w14:textFill>
            <w14:solidFill>
              <w14:schemeClr w14:val="tx1"/>
            </w14:solidFill>
          </w14:textFill>
        </w:rPr>
      </w:pPr>
    </w:p>
    <w:p>
      <w:pPr>
        <w:spacing w:after="200" w:line="276" w:lineRule="auto"/>
        <w:ind w:left="5103" w:firstLine="851"/>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w:t>
      </w:r>
      <w:r>
        <w:rPr>
          <w:rFonts w:ascii="Times New Roman" w:hAnsi="Times New Roman" w:eastAsia="Times New Roman" w:cs="Times New Roman"/>
          <w:b/>
          <w:bCs/>
          <w:color w:val="000000" w:themeColor="text1"/>
          <w:sz w:val="24"/>
          <w:szCs w:val="24"/>
          <w14:textFill>
            <w14:solidFill>
              <w14:schemeClr w14:val="tx1"/>
            </w14:solidFill>
          </w14:textFill>
        </w:rPr>
        <w:t>ЗАТВЕРДЖУЮ</w:t>
      </w:r>
      <w:r>
        <w:rPr>
          <w:rFonts w:ascii="Times New Roman" w:hAnsi="Times New Roman" w:eastAsia="Times New Roman" w:cs="Times New Roman"/>
          <w:color w:val="000000" w:themeColor="text1"/>
          <w:sz w:val="24"/>
          <w:szCs w:val="24"/>
          <w14:textFill>
            <w14:solidFill>
              <w14:schemeClr w14:val="tx1"/>
            </w14:solidFill>
          </w14:textFill>
        </w:rPr>
        <w:t>”</w:t>
      </w:r>
    </w:p>
    <w:p>
      <w:pPr>
        <w:spacing w:after="200" w:line="240" w:lineRule="auto"/>
        <w:ind w:left="2835"/>
        <w:jc w:val="right"/>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 xml:space="preserve">Завідувач кафедри міжкультурної </w:t>
      </w:r>
    </w:p>
    <w:p>
      <w:pPr>
        <w:spacing w:after="200" w:line="240" w:lineRule="auto"/>
        <w:ind w:left="2835"/>
        <w:jc w:val="right"/>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комунікації та перекладу</w:t>
      </w:r>
    </w:p>
    <w:p>
      <w:pPr>
        <w:spacing w:after="200" w:line="240" w:lineRule="auto"/>
        <w:ind w:left="2835"/>
        <w:jc w:val="right"/>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ru-RU"/>
          <w14:textFill>
            <w14:solidFill>
              <w14:schemeClr w14:val="tx1"/>
            </w14:solidFill>
          </w14:textFill>
        </w:rPr>
        <w:t xml:space="preserve">_________________А. Й. Паславська </w:t>
      </w:r>
    </w:p>
    <w:p>
      <w:pPr>
        <w:spacing w:after="200" w:line="240" w:lineRule="auto"/>
        <w:ind w:left="2835"/>
        <w:jc w:val="right"/>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ru-RU"/>
          <w14:textFill>
            <w14:solidFill>
              <w14:schemeClr w14:val="tx1"/>
            </w14:solidFill>
          </w14:textFill>
        </w:rPr>
        <w:t>“______” ______________20___ р</w:t>
      </w:r>
      <w:r>
        <w:rPr>
          <w:rFonts w:ascii="Times New Roman" w:hAnsi="Times New Roman" w:eastAsia="Times New Roman" w:cs="Times New Roman"/>
          <w:color w:val="000000" w:themeColor="text1"/>
          <w:sz w:val="24"/>
          <w:szCs w:val="24"/>
          <w14:textFill>
            <w14:solidFill>
              <w14:schemeClr w14:val="tx1"/>
            </w14:solidFill>
          </w14:textFill>
        </w:rPr>
        <w:t>оку</w:t>
      </w:r>
    </w:p>
    <w:p>
      <w:pPr>
        <w:spacing w:after="200" w:line="240" w:lineRule="auto"/>
        <w:ind w:left="2835"/>
        <w:jc w:val="right"/>
        <w:rPr>
          <w:rFonts w:ascii="Times New Roman" w:hAnsi="Times New Roman" w:eastAsia="Times New Roman" w:cs="Times New Roman"/>
          <w:color w:val="000000" w:themeColor="text1"/>
          <w:sz w:val="24"/>
          <w:szCs w:val="24"/>
          <w14:textFill>
            <w14:solidFill>
              <w14:schemeClr w14:val="tx1"/>
            </w14:solidFill>
          </w14:textFill>
        </w:rPr>
      </w:pPr>
    </w:p>
    <w:p>
      <w:pPr>
        <w:spacing w:after="200" w:line="276" w:lineRule="auto"/>
        <w:jc w:val="center"/>
        <w:rPr>
          <w:rFonts w:ascii="Times New Roman" w:hAnsi="Times New Roman" w:eastAsia="Times New Roman" w:cs="Times New Roman"/>
          <w:color w:val="000000" w:themeColor="text1"/>
          <w:sz w:val="28"/>
          <w:szCs w:val="28"/>
          <w14:textFill>
            <w14:solidFill>
              <w14:schemeClr w14:val="tx1"/>
            </w14:solidFill>
          </w14:textFill>
        </w:rPr>
      </w:pPr>
    </w:p>
    <w:p>
      <w:pPr>
        <w:spacing w:after="200" w:line="276" w:lineRule="auto"/>
        <w:jc w:val="center"/>
        <w:rPr>
          <w:rFonts w:ascii="Times New Roman" w:hAnsi="Times New Roman" w:eastAsia="Times New Roman" w:cs="Times New Roman"/>
          <w:color w:val="000000" w:themeColor="text1"/>
          <w:sz w:val="28"/>
          <w:szCs w:val="28"/>
          <w14:textFill>
            <w14:solidFill>
              <w14:schemeClr w14:val="tx1"/>
            </w14:solidFill>
          </w14:textFill>
        </w:rPr>
      </w:pPr>
    </w:p>
    <w:p>
      <w:pPr>
        <w:spacing w:after="200" w:line="276" w:lineRule="auto"/>
        <w:jc w:val="center"/>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lang w:val="ru-RU"/>
          <w14:textFill>
            <w14:solidFill>
              <w14:schemeClr w14:val="tx1"/>
            </w14:solidFill>
          </w14:textFill>
        </w:rPr>
        <w:t>С И Л А Б У С</w:t>
      </w:r>
    </w:p>
    <w:p>
      <w:pPr>
        <w:spacing w:after="200" w:line="276" w:lineRule="auto"/>
        <w:jc w:val="center"/>
        <w:rPr>
          <w:rFonts w:ascii="Times New Roman" w:hAnsi="Times New Roman" w:eastAsia="Times New Roman" w:cs="Times New Roman"/>
          <w:color w:val="000000" w:themeColor="text1"/>
          <w:sz w:val="28"/>
          <w:szCs w:val="28"/>
          <w14:textFill>
            <w14:solidFill>
              <w14:schemeClr w14:val="tx1"/>
            </w14:solidFill>
          </w14:textFill>
        </w:rPr>
      </w:pPr>
    </w:p>
    <w:p>
      <w:pPr>
        <w:spacing w:after="200" w:line="276" w:lineRule="auto"/>
        <w:jc w:val="center"/>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lang w:val="ru-RU"/>
          <w14:textFill>
            <w14:solidFill>
              <w14:schemeClr w14:val="tx1"/>
            </w14:solidFill>
          </w14:textFill>
        </w:rPr>
        <w:t>ПЕРША ІНОЗЕМНА МОВА</w:t>
      </w:r>
    </w:p>
    <w:p>
      <w:pPr>
        <w:spacing w:after="200" w:line="276" w:lineRule="auto"/>
        <w:jc w:val="center"/>
        <w:rPr>
          <w:rFonts w:ascii="Times New Roman" w:hAnsi="Times New Roman" w:eastAsia="Times New Roman" w:cs="Times New Roman"/>
          <w:color w:val="000000" w:themeColor="text1"/>
          <w:sz w:val="28"/>
          <w:szCs w:val="28"/>
          <w14:textFill>
            <w14:solidFill>
              <w14:schemeClr w14:val="tx1"/>
            </w14:solidFill>
          </w14:textFill>
        </w:rPr>
      </w:pPr>
    </w:p>
    <w:p>
      <w:pPr>
        <w:spacing w:after="200" w:line="276" w:lineRule="auto"/>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Освітній ступінь Бакалавр</w:t>
      </w:r>
    </w:p>
    <w:p>
      <w:pPr>
        <w:spacing w:after="200" w:line="276" w:lineRule="auto"/>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Галузь знань 03 Гуманітарні науки</w:t>
      </w:r>
    </w:p>
    <w:p>
      <w:pPr>
        <w:spacing w:after="200" w:line="276" w:lineRule="auto"/>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Спеціальність 035 Філологія</w:t>
      </w:r>
    </w:p>
    <w:p>
      <w:pPr>
        <w:spacing w:after="200" w:line="276" w:lineRule="auto"/>
        <w:ind w:left="2127" w:hanging="2127"/>
        <w:rPr>
          <w:rFonts w:ascii="Times New Roman" w:hAnsi="Times New Roman" w:eastAsia="Times New Roman" w:cs="Times New Roman"/>
          <w:color w:val="000000" w:themeColor="text1"/>
          <w:sz w:val="28"/>
          <w:szCs w:val="28"/>
          <w:highlight w:val="yellow"/>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 xml:space="preserve">Спеціалізація 035.043 Германські мови та літератури (переклад </w:t>
      </w:r>
      <w:r>
        <w:tab/>
      </w:r>
      <w:r>
        <w:tab/>
      </w:r>
      <w:r>
        <w:rPr>
          <w:rFonts w:ascii="Times New Roman" w:hAnsi="Times New Roman" w:eastAsia="Times New Roman" w:cs="Times New Roman"/>
          <w:b/>
          <w:bCs/>
          <w:color w:val="000000" w:themeColor="text1"/>
          <w:sz w:val="28"/>
          <w:szCs w:val="28"/>
          <w14:textFill>
            <w14:solidFill>
              <w14:schemeClr w14:val="tx1"/>
            </w14:solidFill>
          </w14:textFill>
        </w:rPr>
        <w:t>включно), перша - німецька</w:t>
      </w:r>
    </w:p>
    <w:p>
      <w:pPr>
        <w:spacing w:after="200" w:line="276" w:lineRule="auto"/>
        <w:ind w:left="2127" w:hanging="2127"/>
        <w:rPr>
          <w:rFonts w:ascii="Times New Roman" w:hAnsi="Times New Roman" w:eastAsia="Times New Roman" w:cs="Times New Roman"/>
          <w:b/>
          <w:bCs/>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 xml:space="preserve">Освітня програма: Переклад двох іноземних мов та міжкультурна </w:t>
      </w:r>
      <w:r>
        <w:tab/>
      </w:r>
      <w:r>
        <w:tab/>
      </w:r>
      <w:r>
        <w:rPr>
          <w:rFonts w:ascii="Times New Roman" w:hAnsi="Times New Roman" w:eastAsia="Times New Roman" w:cs="Times New Roman"/>
          <w:b/>
          <w:bCs/>
          <w:color w:val="000000" w:themeColor="text1"/>
          <w:sz w:val="28"/>
          <w:szCs w:val="28"/>
          <w14:textFill>
            <w14:solidFill>
              <w14:schemeClr w14:val="tx1"/>
            </w14:solidFill>
          </w14:textFill>
        </w:rPr>
        <w:t>комунікація</w:t>
      </w:r>
    </w:p>
    <w:p>
      <w:pPr>
        <w:spacing w:after="200" w:line="276" w:lineRule="auto"/>
        <w:jc w:val="center"/>
        <w:rPr>
          <w:rFonts w:ascii="Times New Roman" w:hAnsi="Times New Roman" w:eastAsia="Times New Roman" w:cs="Times New Roman"/>
          <w:color w:val="000000" w:themeColor="text1"/>
          <w:sz w:val="28"/>
          <w:szCs w:val="28"/>
          <w14:textFill>
            <w14:solidFill>
              <w14:schemeClr w14:val="tx1"/>
            </w14:solidFill>
          </w14:textFill>
        </w:rPr>
      </w:pPr>
    </w:p>
    <w:p>
      <w:pPr>
        <w:spacing w:after="200" w:line="276" w:lineRule="auto"/>
        <w:jc w:val="center"/>
        <w:rPr>
          <w:rFonts w:ascii="Times New Roman" w:hAnsi="Times New Roman" w:eastAsia="Times New Roman" w:cs="Times New Roman"/>
          <w:color w:val="000000" w:themeColor="text1"/>
          <w:sz w:val="28"/>
          <w:szCs w:val="28"/>
          <w14:textFill>
            <w14:solidFill>
              <w14:schemeClr w14:val="tx1"/>
            </w14:solidFill>
          </w14:textFill>
        </w:rPr>
      </w:pPr>
    </w:p>
    <w:p>
      <w:pPr>
        <w:spacing w:after="200" w:line="276" w:lineRule="auto"/>
        <w:jc w:val="center"/>
        <w:rPr>
          <w:rFonts w:ascii="Times New Roman" w:hAnsi="Times New Roman" w:eastAsia="Times New Roman" w:cs="Times New Roman"/>
          <w:color w:val="000000" w:themeColor="text1"/>
          <w:sz w:val="28"/>
          <w:szCs w:val="28"/>
          <w14:textFill>
            <w14:solidFill>
              <w14:schemeClr w14:val="tx1"/>
            </w14:solidFill>
          </w14:textFill>
        </w:rPr>
      </w:pPr>
    </w:p>
    <w:p>
      <w:pPr>
        <w:spacing w:after="200" w:line="276" w:lineRule="auto"/>
        <w:jc w:val="center"/>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lang w:val="ru-RU"/>
          <w14:textFill>
            <w14:solidFill>
              <w14:schemeClr w14:val="tx1"/>
            </w14:solidFill>
          </w14:textFill>
        </w:rPr>
        <w:t>Львів – 2021 рік</w:t>
      </w:r>
    </w:p>
    <w:p>
      <w:pPr>
        <w:jc w:val="center"/>
        <w:rPr>
          <w:rFonts w:ascii="Times New Roman" w:hAnsi="Times New Roman" w:eastAsia="Times New Roman" w:cs="Times New Roman"/>
          <w:b/>
          <w:bCs/>
          <w:color w:val="000000" w:themeColor="text1"/>
          <w:sz w:val="28"/>
          <w:szCs w:val="28"/>
          <w:lang w:val="ru-RU"/>
          <w14:textFill>
            <w14:solidFill>
              <w14:schemeClr w14:val="tx1"/>
            </w14:solidFill>
          </w14:textFill>
        </w:rPr>
      </w:pPr>
    </w:p>
    <w:p>
      <w:pPr>
        <w:spacing w:after="200" w:line="276" w:lineRule="auto"/>
        <w:jc w:val="center"/>
        <w:rPr>
          <w:rFonts w:ascii="Times New Roman" w:hAnsi="Times New Roman" w:eastAsia="Times New Roman" w:cs="Times New Roman"/>
          <w:color w:val="000000" w:themeColor="text1"/>
          <w:sz w:val="24"/>
          <w:szCs w:val="24"/>
          <w:lang w:val="ru-RU"/>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Силабус курсу «Перша іноземна мова»</w:t>
      </w:r>
    </w:p>
    <w:p>
      <w:pPr>
        <w:spacing w:after="200" w:line="276" w:lineRule="auto"/>
        <w:jc w:val="center"/>
        <w:rPr>
          <w:rFonts w:ascii="Times New Roman" w:hAnsi="Times New Roman" w:eastAsia="Times New Roman" w:cs="Times New Roman"/>
          <w:color w:val="000000" w:themeColor="text1"/>
          <w:sz w:val="24"/>
          <w:szCs w:val="24"/>
          <w:lang w:val="ru-RU"/>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2020/2021 навчального року</w:t>
      </w:r>
    </w:p>
    <w:p>
      <w:pPr>
        <w:spacing w:after="200" w:line="276" w:lineRule="auto"/>
        <w:jc w:val="center"/>
        <w:rPr>
          <w:rFonts w:ascii="Calibri" w:hAnsi="Calibri" w:eastAsia="Calibri" w:cs="Calibri"/>
          <w:color w:val="000000" w:themeColor="text1"/>
          <w:lang w:val="ru-RU"/>
          <w14:textFill>
            <w14:solidFill>
              <w14:schemeClr w14:val="tx1"/>
            </w14:solidFill>
          </w14:textFill>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08"/>
        <w:gridCol w:w="4508"/>
      </w:tblGrid>
      <w:tr>
        <w:tc>
          <w:tcPr>
            <w:tcW w:w="4508" w:type="dxa"/>
          </w:tcPr>
          <w:p>
            <w:pPr>
              <w:spacing w:after="20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Назва курсу</w:t>
            </w:r>
          </w:p>
        </w:tc>
        <w:tc>
          <w:tcPr>
            <w:tcW w:w="4508"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Перша іноземна мова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508" w:type="dxa"/>
          </w:tcPr>
          <w:p>
            <w:pPr>
              <w:spacing w:after="20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Адреса викладання курсу</w:t>
            </w:r>
          </w:p>
        </w:tc>
        <w:tc>
          <w:tcPr>
            <w:tcW w:w="4508"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Львівський національний університет імені Івана Франка, м. Львів, вул. Університетська, 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508" w:type="dxa"/>
          </w:tcPr>
          <w:p>
            <w:pPr>
              <w:spacing w:after="20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Факультет та кафедра, за якою закріплена дисципліна</w:t>
            </w:r>
          </w:p>
        </w:tc>
        <w:tc>
          <w:tcPr>
            <w:tcW w:w="4508"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Факультет іноземних мов, </w:t>
            </w:r>
          </w:p>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кафедра міжкультурної комунікації та перекладу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508" w:type="dxa"/>
          </w:tcPr>
          <w:p>
            <w:pPr>
              <w:spacing w:after="20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Галузь знань, шифр та назва спеціальності</w:t>
            </w:r>
          </w:p>
        </w:tc>
        <w:tc>
          <w:tcPr>
            <w:tcW w:w="4508"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Галузь знань </w:t>
            </w:r>
            <w:r>
              <w:rPr>
                <w:rFonts w:ascii="Times New Roman" w:hAnsi="Times New Roman" w:eastAsia="Times New Roman" w:cs="Times New Roman"/>
                <w:i/>
                <w:iCs/>
                <w:sz w:val="24"/>
                <w:szCs w:val="24"/>
              </w:rPr>
              <w:t>03 Гуманітарні науки</w:t>
            </w:r>
          </w:p>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Спеціальність </w:t>
            </w:r>
            <w:r>
              <w:rPr>
                <w:rFonts w:ascii="Times New Roman" w:hAnsi="Times New Roman" w:eastAsia="Times New Roman" w:cs="Times New Roman"/>
                <w:i/>
                <w:iCs/>
                <w:sz w:val="24"/>
                <w:szCs w:val="24"/>
              </w:rPr>
              <w:t>035 Філологія</w:t>
            </w:r>
          </w:p>
          <w:p>
            <w:pPr>
              <w:spacing w:after="200" w:line="276" w:lineRule="auto"/>
              <w:jc w:val="both"/>
            </w:pPr>
            <w:r>
              <w:rPr>
                <w:rFonts w:ascii="Times New Roman" w:hAnsi="Times New Roman" w:eastAsia="Times New Roman" w:cs="Times New Roman"/>
                <w:color w:val="000000" w:themeColor="text1"/>
                <w:sz w:val="24"/>
                <w:szCs w:val="24"/>
                <w14:textFill>
                  <w14:solidFill>
                    <w14:schemeClr w14:val="tx1"/>
                  </w14:solidFill>
                </w14:textFill>
              </w:rPr>
              <w:t xml:space="preserve">Спеціалізація </w:t>
            </w:r>
            <w:r>
              <w:rPr>
                <w:rFonts w:ascii="Times New Roman" w:hAnsi="Times New Roman" w:eastAsia="Times New Roman" w:cs="Times New Roman"/>
                <w:i/>
                <w:iCs/>
                <w:color w:val="000000" w:themeColor="text1"/>
                <w:sz w:val="24"/>
                <w:szCs w:val="24"/>
                <w14:textFill>
                  <w14:solidFill>
                    <w14:schemeClr w14:val="tx1"/>
                  </w14:solidFill>
                </w14:textFill>
              </w:rPr>
              <w:t xml:space="preserve">035.043 Германські мови та літератури (переклад </w:t>
            </w:r>
            <w:r>
              <w:tab/>
            </w:r>
            <w:r>
              <w:tab/>
            </w:r>
            <w:r>
              <w:rPr>
                <w:rFonts w:ascii="Times New Roman" w:hAnsi="Times New Roman" w:eastAsia="Times New Roman" w:cs="Times New Roman"/>
                <w:i/>
                <w:iCs/>
                <w:color w:val="000000" w:themeColor="text1"/>
                <w:sz w:val="24"/>
                <w:szCs w:val="24"/>
                <w14:textFill>
                  <w14:solidFill>
                    <w14:schemeClr w14:val="tx1"/>
                  </w14:solidFill>
                </w14:textFill>
              </w:rPr>
              <w:t>включно), перша - німецька</w:t>
            </w:r>
            <w:r>
              <w:rPr>
                <w:rFonts w:ascii="Times New Roman" w:hAnsi="Times New Roman" w:eastAsia="Times New Roman" w:cs="Times New Roman"/>
                <w:i/>
                <w:iCs/>
                <w:sz w:val="24"/>
                <w:szCs w:val="24"/>
              </w:rPr>
              <w:t xml:space="preserve"> </w:t>
            </w:r>
          </w:p>
        </w:tc>
      </w:tr>
    </w:tbl>
    <w:p>
      <w:pPr>
        <w:spacing w:after="200" w:line="276" w:lineRule="auto"/>
        <w:jc w:val="center"/>
        <w:rPr>
          <w:rFonts w:ascii="Times New Roman" w:hAnsi="Times New Roman" w:eastAsia="Times New Roman" w:cs="Times New Roman"/>
          <w:color w:val="000000" w:themeColor="text1"/>
          <w:sz w:val="24"/>
          <w:szCs w:val="24"/>
          <w:lang w:val="ru-RU"/>
          <w14:textFill>
            <w14:solidFill>
              <w14:schemeClr w14:val="tx1"/>
            </w14:solidFill>
          </w14:textFill>
        </w:rPr>
      </w:pPr>
    </w:p>
    <w:p>
      <w:pPr>
        <w:spacing w:after="200" w:line="276" w:lineRule="auto"/>
        <w:jc w:val="center"/>
        <w:rPr>
          <w:rFonts w:ascii="Times New Roman" w:hAnsi="Times New Roman" w:eastAsia="Times New Roman" w:cs="Times New Roman"/>
          <w:color w:val="000000" w:themeColor="text1"/>
          <w:sz w:val="24"/>
          <w:szCs w:val="24"/>
          <w:lang w:val="ru-RU"/>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ІНФОРМАЦІЯ ПРО ВИКЛАДАЧІВ</w:t>
      </w:r>
    </w:p>
    <w:tbl>
      <w:tblPr>
        <w:tblStyle w:val="5"/>
        <w:tblW w:w="907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40"/>
        <w:gridCol w:w="1860"/>
        <w:gridCol w:w="1920"/>
        <w:gridCol w:w="2010"/>
        <w:gridCol w:w="1845"/>
      </w:tblGrid>
      <w:tr>
        <w:tc>
          <w:tcPr>
            <w:tcW w:w="1440" w:type="dxa"/>
          </w:tcPr>
          <w:p>
            <w:pP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Прізвище, ім'я, по батькові</w:t>
            </w:r>
          </w:p>
        </w:tc>
        <w:tc>
          <w:tcPr>
            <w:tcW w:w="1860" w:type="dxa"/>
          </w:tcPr>
          <w:p>
            <w:pPr>
              <w:spacing w:after="0" w:line="276"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Бораковський Любомир Адамович</w:t>
            </w:r>
          </w:p>
        </w:tc>
        <w:tc>
          <w:tcPr>
            <w:tcW w:w="1920" w:type="dxa"/>
          </w:tcPr>
          <w:p>
            <w:pP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Солтис Мар'яна Орестівна</w:t>
            </w:r>
          </w:p>
        </w:tc>
        <w:tc>
          <w:tcPr>
            <w:tcW w:w="2010" w:type="dxa"/>
          </w:tcPr>
          <w:p>
            <w:pP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Денис Ольга Володимирівна</w:t>
            </w:r>
          </w:p>
        </w:tc>
        <w:tc>
          <w:tcPr>
            <w:tcW w:w="1845" w:type="dxa"/>
          </w:tcPr>
          <w:p>
            <w:pPr>
              <w:spacing w:after="200" w:line="276"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Галема Ольга Романівна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40" w:type="dxa"/>
          </w:tcPr>
          <w:p>
            <w:pP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Науковий ступінь</w:t>
            </w:r>
          </w:p>
        </w:tc>
        <w:tc>
          <w:tcPr>
            <w:tcW w:w="1860"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кандидат філологічних наук</w:t>
            </w:r>
          </w:p>
        </w:tc>
        <w:tc>
          <w:tcPr>
            <w:tcW w:w="1920"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кандидат філологічних наук</w:t>
            </w:r>
          </w:p>
        </w:tc>
        <w:tc>
          <w:tcPr>
            <w:tcW w:w="2010"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магістр</w:t>
            </w:r>
          </w:p>
        </w:tc>
        <w:tc>
          <w:tcPr>
            <w:tcW w:w="1845"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магістр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40" w:type="dxa"/>
          </w:tcPr>
          <w:p>
            <w:pP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Вчене звання</w:t>
            </w:r>
          </w:p>
        </w:tc>
        <w:tc>
          <w:tcPr>
            <w:tcW w:w="1860"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доцент</w:t>
            </w:r>
          </w:p>
        </w:tc>
        <w:tc>
          <w:tcPr>
            <w:tcW w:w="1920"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доцент</w:t>
            </w:r>
          </w:p>
        </w:tc>
        <w:tc>
          <w:tcPr>
            <w:tcW w:w="2010"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845"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40" w:type="dxa"/>
          </w:tcPr>
          <w:p>
            <w:pP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Посада </w:t>
            </w:r>
          </w:p>
        </w:tc>
        <w:tc>
          <w:tcPr>
            <w:tcW w:w="1860"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доцент кафедри міжкультурної комунікації та перекладу Львівського національного університет імені І. Франка</w:t>
            </w:r>
          </w:p>
        </w:tc>
        <w:tc>
          <w:tcPr>
            <w:tcW w:w="1920"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доцент кафедри міжкультурної комунікації та перекладу Львівського національного університет імені І. Франка</w:t>
            </w:r>
          </w:p>
        </w:tc>
        <w:tc>
          <w:tcPr>
            <w:tcW w:w="2010"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асистент кафедри міжкультурної комунікації та перекладу Львівського національного університет імені І. Франка</w:t>
            </w:r>
          </w:p>
        </w:tc>
        <w:tc>
          <w:tcPr>
            <w:tcW w:w="1845"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асистент кафедри міжкультурної комунікації та перекладу Львівського національного університет імені І. Франка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40" w:type="dxa"/>
          </w:tcPr>
          <w:p>
            <w:pP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Місце роботи</w:t>
            </w:r>
          </w:p>
        </w:tc>
        <w:tc>
          <w:tcPr>
            <w:tcW w:w="1860"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Львівський національний університет імені І. Франка, кафедра міжкультурної комунікації та перекладу</w:t>
            </w:r>
          </w:p>
        </w:tc>
        <w:tc>
          <w:tcPr>
            <w:tcW w:w="1920"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Львівський національний університет імені І. Франка, кафедра міжкультурної комунікації та перекладу</w:t>
            </w:r>
          </w:p>
        </w:tc>
        <w:tc>
          <w:tcPr>
            <w:tcW w:w="2010" w:type="dxa"/>
          </w:tcPr>
          <w:p>
            <w:pP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Львівський національний університет імені І. Франка, кафедра міжкультурної комунікації та перекладу</w:t>
            </w:r>
          </w:p>
        </w:tc>
        <w:tc>
          <w:tcPr>
            <w:tcW w:w="1845" w:type="dxa"/>
          </w:tcPr>
          <w:p>
            <w:pP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40" w:type="dxa"/>
          </w:tcPr>
          <w:p>
            <w:pP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Електронна адреса</w:t>
            </w:r>
          </w:p>
        </w:tc>
        <w:tc>
          <w:tcPr>
            <w:tcW w:w="1860" w:type="dxa"/>
          </w:tcPr>
          <w:p>
            <w:pPr>
              <w:spacing w:after="0" w:line="276" w:lineRule="auto"/>
              <w:rPr>
                <w:rFonts w:ascii="Times New Roman" w:hAnsi="Times New Roman" w:eastAsia="Times New Roman" w:cs="Times New Roman"/>
                <w:color w:val="0563C1"/>
                <w:u w:val="single"/>
              </w:rPr>
            </w:pPr>
            <w:r>
              <w:rPr>
                <w:rFonts w:ascii="Times New Roman" w:hAnsi="Times New Roman" w:eastAsia="Times New Roman" w:cs="Times New Roman"/>
                <w:color w:val="0563C1"/>
                <w:u w:val="single"/>
              </w:rPr>
              <w:t>lyubomyr.borakovskyy@lnu.edu.ua</w:t>
            </w:r>
          </w:p>
        </w:tc>
        <w:tc>
          <w:tcPr>
            <w:tcW w:w="1920" w:type="dxa"/>
          </w:tcPr>
          <w:p>
            <w:pPr>
              <w:spacing w:after="200" w:line="276" w:lineRule="auto"/>
              <w:rPr>
                <w:rFonts w:ascii="Times New Roman" w:hAnsi="Times New Roman" w:eastAsia="Times New Roman" w:cs="Times New Roman"/>
                <w:color w:val="0563C1"/>
                <w:u w:val="single"/>
              </w:rPr>
            </w:pPr>
            <w:r>
              <w:fldChar w:fldCharType="begin"/>
            </w:r>
            <w:r>
              <w:instrText xml:space="preserve"> HYPERLINK "mailto:maryana.soltys@lnu.edu.ua" \h </w:instrText>
            </w:r>
            <w:r>
              <w:fldChar w:fldCharType="separate"/>
            </w:r>
            <w:r>
              <w:rPr>
                <w:rFonts w:ascii="Times New Roman" w:hAnsi="Times New Roman" w:eastAsia="Times New Roman" w:cs="Times New Roman"/>
                <w:color w:val="0563C1"/>
                <w:u w:val="single"/>
              </w:rPr>
              <w:t>maryana.soltys@lnu.edu.ua</w:t>
            </w:r>
            <w:r>
              <w:rPr>
                <w:rFonts w:ascii="Times New Roman" w:hAnsi="Times New Roman" w:eastAsia="Times New Roman" w:cs="Times New Roman"/>
                <w:color w:val="0563C1"/>
                <w:u w:val="single"/>
              </w:rPr>
              <w:fldChar w:fldCharType="end"/>
            </w:r>
          </w:p>
        </w:tc>
        <w:tc>
          <w:tcPr>
            <w:tcW w:w="2010" w:type="dxa"/>
          </w:tcPr>
          <w:p>
            <w:pPr>
              <w:spacing w:after="200" w:line="276" w:lineRule="auto"/>
              <w:rPr>
                <w:rFonts w:ascii="Times New Roman" w:hAnsi="Times New Roman" w:eastAsia="Times New Roman" w:cs="Times New Roman"/>
              </w:rPr>
            </w:pPr>
            <w:r>
              <w:fldChar w:fldCharType="begin"/>
            </w:r>
            <w:r>
              <w:instrText xml:space="preserve"> HYPERLINK "mailto:olga.denys@lnu.edu.ua" \h </w:instrText>
            </w:r>
            <w:r>
              <w:fldChar w:fldCharType="separate"/>
            </w:r>
            <w:r>
              <w:rPr>
                <w:rStyle w:val="3"/>
                <w:rFonts w:ascii="Times New Roman" w:hAnsi="Times New Roman" w:eastAsia="Times New Roman" w:cs="Times New Roman"/>
              </w:rPr>
              <w:t>olga.</w:t>
            </w:r>
            <w:r>
              <w:rPr>
                <w:rFonts w:ascii="Verdana" w:hAnsi="Verdana" w:eastAsia="Verdana" w:cs="Verdana"/>
                <w:color w:val="0563C1"/>
                <w:sz w:val="18"/>
                <w:szCs w:val="18"/>
                <w:u w:val="single"/>
              </w:rPr>
              <w:t>denys</w:t>
            </w:r>
            <w:r>
              <w:rPr>
                <w:rStyle w:val="3"/>
                <w:rFonts w:ascii="Times New Roman" w:hAnsi="Times New Roman" w:eastAsia="Times New Roman" w:cs="Times New Roman"/>
              </w:rPr>
              <w:t>@lnu.edu.ua</w:t>
            </w:r>
            <w:r>
              <w:rPr>
                <w:rStyle w:val="3"/>
                <w:rFonts w:ascii="Times New Roman" w:hAnsi="Times New Roman" w:eastAsia="Times New Roman" w:cs="Times New Roman"/>
              </w:rPr>
              <w:fldChar w:fldCharType="end"/>
            </w:r>
          </w:p>
        </w:tc>
        <w:tc>
          <w:tcPr>
            <w:tcW w:w="1845" w:type="dxa"/>
          </w:tcPr>
          <w:p>
            <w:pPr>
              <w:spacing w:after="200" w:line="276" w:lineRule="auto"/>
              <w:rPr>
                <w:rFonts w:ascii="Times New Roman" w:hAnsi="Times New Roman" w:eastAsia="Times New Roman" w:cs="Times New Roman"/>
              </w:rPr>
            </w:pPr>
            <w:r>
              <w:fldChar w:fldCharType="begin"/>
            </w:r>
            <w:r>
              <w:instrText xml:space="preserve"> HYPERLINK "mailto:olga.halema@lnu.edu.ua" </w:instrText>
            </w:r>
            <w:r>
              <w:fldChar w:fldCharType="separate"/>
            </w:r>
            <w:r>
              <w:rPr>
                <w:rStyle w:val="3"/>
                <w:rFonts w:ascii="Times New Roman" w:hAnsi="Times New Roman" w:eastAsia="Times New Roman" w:cs="Times New Roman"/>
              </w:rPr>
              <w:t>ol</w:t>
            </w:r>
            <w:r>
              <w:rPr>
                <w:rStyle w:val="3"/>
                <w:rFonts w:ascii="Times New Roman" w:hAnsi="Times New Roman" w:eastAsia="Times New Roman" w:cs="Times New Roman"/>
                <w:lang w:val="en-US"/>
              </w:rPr>
              <w:t>g</w:t>
            </w:r>
            <w:r>
              <w:rPr>
                <w:rStyle w:val="3"/>
                <w:rFonts w:ascii="Times New Roman" w:hAnsi="Times New Roman" w:eastAsia="Times New Roman" w:cs="Times New Roman"/>
              </w:rPr>
              <w:t>a.halema@lnu.edu.ua</w:t>
            </w:r>
            <w:r>
              <w:rPr>
                <w:rStyle w:val="3"/>
                <w:rFonts w:ascii="Times New Roman" w:hAnsi="Times New Roman" w:eastAsia="Times New Roman" w:cs="Times New Roman"/>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40" w:type="dxa"/>
          </w:tcPr>
          <w:p>
            <w:pP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Сторінка викладача</w:t>
            </w:r>
          </w:p>
        </w:tc>
        <w:tc>
          <w:tcPr>
            <w:tcW w:w="1860" w:type="dxa"/>
          </w:tcPr>
          <w:p>
            <w:pPr>
              <w:spacing w:after="0" w:line="276" w:lineRule="auto"/>
              <w:rPr>
                <w:rFonts w:ascii="Times New Roman" w:hAnsi="Times New Roman" w:eastAsia="Times New Roman" w:cs="Times New Roman"/>
                <w:sz w:val="24"/>
                <w:szCs w:val="24"/>
              </w:rPr>
            </w:pPr>
            <w:r>
              <w:fldChar w:fldCharType="begin"/>
            </w:r>
            <w:r>
              <w:instrText xml:space="preserve"> HYPERLINK "https://lingua.lnu.edu.ua/employee/borakovskyj-lyubomyr-adamovych" \h </w:instrText>
            </w:r>
            <w:r>
              <w:fldChar w:fldCharType="separate"/>
            </w:r>
            <w:r>
              <w:rPr>
                <w:rStyle w:val="3"/>
                <w:rFonts w:ascii="Times New Roman" w:hAnsi="Times New Roman" w:eastAsia="Times New Roman" w:cs="Times New Roman"/>
                <w:sz w:val="24"/>
                <w:szCs w:val="24"/>
              </w:rPr>
              <w:t>https://lingua.lnu.edu.ua/employee/borakovskyj-lyubomyr-adamovych</w:t>
            </w:r>
            <w:r>
              <w:rPr>
                <w:rStyle w:val="3"/>
                <w:rFonts w:ascii="Times New Roman" w:hAnsi="Times New Roman" w:eastAsia="Times New Roman" w:cs="Times New Roman"/>
                <w:sz w:val="24"/>
                <w:szCs w:val="24"/>
              </w:rPr>
              <w:fldChar w:fldCharType="end"/>
            </w:r>
          </w:p>
        </w:tc>
        <w:tc>
          <w:tcPr>
            <w:tcW w:w="1920" w:type="dxa"/>
          </w:tcPr>
          <w:p>
            <w:pPr>
              <w:spacing w:after="200" w:line="276" w:lineRule="auto"/>
              <w:rPr>
                <w:rFonts w:ascii="Times New Roman" w:hAnsi="Times New Roman" w:eastAsia="Times New Roman" w:cs="Times New Roman"/>
                <w:sz w:val="24"/>
                <w:szCs w:val="24"/>
              </w:rPr>
            </w:pPr>
            <w:r>
              <w:fldChar w:fldCharType="begin"/>
            </w:r>
            <w:r>
              <w:instrText xml:space="preserve"> HYPERLINK "https://intrel.lnu.edu.ua/employee/soltys-maryana-orestivna" \h </w:instrText>
            </w:r>
            <w:r>
              <w:fldChar w:fldCharType="separate"/>
            </w:r>
            <w:r>
              <w:rPr>
                <w:rStyle w:val="3"/>
                <w:rFonts w:ascii="Times New Roman" w:hAnsi="Times New Roman" w:eastAsia="Times New Roman" w:cs="Times New Roman"/>
                <w:sz w:val="24"/>
                <w:szCs w:val="24"/>
              </w:rPr>
              <w:t>https://intrel.lnu.edu.ua/employee/soltys-maryana-orestivna</w:t>
            </w:r>
            <w:r>
              <w:rPr>
                <w:rStyle w:val="3"/>
                <w:rFonts w:ascii="Times New Roman" w:hAnsi="Times New Roman" w:eastAsia="Times New Roman" w:cs="Times New Roman"/>
                <w:sz w:val="24"/>
                <w:szCs w:val="24"/>
              </w:rPr>
              <w:fldChar w:fldCharType="end"/>
            </w:r>
          </w:p>
        </w:tc>
        <w:tc>
          <w:tcPr>
            <w:tcW w:w="2010" w:type="dxa"/>
          </w:tcPr>
          <w:p>
            <w:pPr>
              <w:spacing w:after="200" w:line="276" w:lineRule="auto"/>
              <w:rPr>
                <w:rFonts w:ascii="Times New Roman" w:hAnsi="Times New Roman" w:eastAsia="Times New Roman" w:cs="Times New Roman"/>
              </w:rPr>
            </w:pPr>
            <w:r>
              <w:fldChar w:fldCharType="begin"/>
            </w:r>
            <w:r>
              <w:instrText xml:space="preserve"> HYPERLINK "https://lingua.lnu.edu.ua/employee/denys-olha-volodymyrivna" \h </w:instrText>
            </w:r>
            <w:r>
              <w:fldChar w:fldCharType="separate"/>
            </w:r>
            <w:r>
              <w:rPr>
                <w:rStyle w:val="3"/>
                <w:rFonts w:ascii="Times New Roman" w:hAnsi="Times New Roman" w:eastAsia="Times New Roman" w:cs="Times New Roman"/>
              </w:rPr>
              <w:t>https://lingua.lnu.edu.ua/employee/denys-olha-volodymyrivna</w:t>
            </w:r>
            <w:r>
              <w:rPr>
                <w:rStyle w:val="3"/>
                <w:rFonts w:ascii="Times New Roman" w:hAnsi="Times New Roman" w:eastAsia="Times New Roman" w:cs="Times New Roman"/>
              </w:rPr>
              <w:fldChar w:fldCharType="end"/>
            </w:r>
          </w:p>
        </w:tc>
        <w:tc>
          <w:tcPr>
            <w:tcW w:w="1845" w:type="dxa"/>
          </w:tcPr>
          <w:p>
            <w:pPr>
              <w:spacing w:after="200" w:line="276" w:lineRule="auto"/>
              <w:rPr>
                <w:rFonts w:ascii="Times New Roman" w:hAnsi="Times New Roman" w:eastAsia="Times New Roman" w:cs="Times New Roman"/>
              </w:rPr>
            </w:pPr>
            <w:r>
              <w:fldChar w:fldCharType="begin"/>
            </w:r>
            <w:r>
              <w:instrText xml:space="preserve"> HYPERLINK "https://intrel.lnu.edu.ua/employee/halema-olha-romanivna" \h </w:instrText>
            </w:r>
            <w:r>
              <w:fldChar w:fldCharType="separate"/>
            </w:r>
            <w:r>
              <w:rPr>
                <w:rStyle w:val="3"/>
                <w:rFonts w:ascii="Times New Roman" w:hAnsi="Times New Roman" w:eastAsia="Times New Roman" w:cs="Times New Roman"/>
              </w:rPr>
              <w:t>https://intrel.lnu.edu.ua/employee/halema-olha-romanivna</w:t>
            </w:r>
            <w:r>
              <w:rPr>
                <w:rStyle w:val="3"/>
                <w:rFonts w:ascii="Times New Roman" w:hAnsi="Times New Roman" w:eastAsia="Times New Roman" w:cs="Times New Roman"/>
              </w:rPr>
              <w:fldChar w:fldCharType="end"/>
            </w:r>
          </w:p>
        </w:tc>
      </w:tr>
    </w:tbl>
    <w:p>
      <w:pPr>
        <w:spacing w:after="200" w:line="276" w:lineRule="auto"/>
        <w:jc w:val="center"/>
        <w:rPr>
          <w:rFonts w:ascii="Times New Roman" w:hAnsi="Times New Roman" w:eastAsia="Times New Roman" w:cs="Times New Roman"/>
          <w:color w:val="000000" w:themeColor="text1"/>
          <w:sz w:val="24"/>
          <w:szCs w:val="24"/>
          <w14:textFill>
            <w14:solidFill>
              <w14:schemeClr w14:val="tx1"/>
            </w14:solidFill>
          </w14:textFill>
        </w:rPr>
      </w:pPr>
    </w:p>
    <w:p>
      <w:pPr>
        <w:spacing w:after="200" w:line="276" w:lineRule="auto"/>
        <w:jc w:val="center"/>
        <w:rPr>
          <w:rFonts w:ascii="Times New Roman" w:hAnsi="Times New Roman" w:eastAsia="Times New Roman" w:cs="Times New Roman"/>
          <w:color w:val="000000" w:themeColor="text1"/>
          <w:sz w:val="24"/>
          <w:szCs w:val="24"/>
          <w:lang w:val="ru-RU"/>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 xml:space="preserve">КОНСУЛЬТАЦІЇ </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08"/>
        <w:gridCol w:w="4508"/>
      </w:tblGrid>
      <w:tr>
        <w:tc>
          <w:tcPr>
            <w:tcW w:w="4508" w:type="dxa"/>
          </w:tcPr>
          <w:p>
            <w:pP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Час</w:t>
            </w:r>
          </w:p>
        </w:tc>
        <w:tc>
          <w:tcPr>
            <w:tcW w:w="4508" w:type="dxa"/>
          </w:tcPr>
          <w:p>
            <w:pP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день проведення практичних занять (за попередньою домовленістю). </w:t>
            </w:r>
          </w:p>
        </w:tc>
      </w:tr>
      <w:tr>
        <w:tc>
          <w:tcPr>
            <w:tcW w:w="4508" w:type="dxa"/>
          </w:tcPr>
          <w:p>
            <w:pP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Місце</w:t>
            </w:r>
          </w:p>
        </w:tc>
        <w:tc>
          <w:tcPr>
            <w:tcW w:w="4508" w:type="dxa"/>
          </w:tcPr>
          <w:p>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spacing w:after="200" w:line="276" w:lineRule="auto"/>
        <w:jc w:val="center"/>
        <w:rPr>
          <w:rFonts w:ascii="Times New Roman" w:hAnsi="Times New Roman" w:eastAsia="Times New Roman" w:cs="Times New Roman"/>
          <w:color w:val="000000" w:themeColor="text1"/>
          <w:sz w:val="24"/>
          <w:szCs w:val="24"/>
          <w:lang w:val="ru-RU"/>
          <w14:textFill>
            <w14:solidFill>
              <w14:schemeClr w14:val="tx1"/>
            </w14:solidFill>
          </w14:textFill>
        </w:rPr>
      </w:pPr>
    </w:p>
    <w:p>
      <w:pPr>
        <w:spacing w:after="200" w:line="276" w:lineRule="auto"/>
        <w:jc w:val="center"/>
        <w:rPr>
          <w:rFonts w:ascii="Times New Roman" w:hAnsi="Times New Roman" w:eastAsia="Times New Roman" w:cs="Times New Roman"/>
          <w:color w:val="000000" w:themeColor="text1"/>
          <w:sz w:val="24"/>
          <w:szCs w:val="24"/>
          <w:lang w:val="ru-RU"/>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ІНФОРМАЦІЯ ПРО КУРС</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775"/>
        <w:gridCol w:w="62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lang w:val="ru-RU"/>
                <w14:textFill>
                  <w14:solidFill>
                    <w14:schemeClr w14:val="tx1"/>
                  </w14:solidFill>
                </w14:textFill>
              </w:rPr>
              <w:t>Сторінка курсу</w:t>
            </w:r>
          </w:p>
        </w:tc>
        <w:tc>
          <w:tcPr>
            <w:tcW w:w="6240" w:type="dxa"/>
          </w:tcPr>
          <w:p>
            <w:pPr>
              <w:spacing w:after="200" w:line="276" w:lineRule="auto"/>
              <w:jc w:val="both"/>
              <w:rPr>
                <w:rFonts w:ascii="Times New Roman" w:hAnsi="Times New Roman" w:eastAsia="Times New Roman" w:cs="Times New Roman"/>
                <w:color w:val="000000" w:themeColor="text1"/>
                <w14:textFill>
                  <w14:solidFill>
                    <w14:schemeClr w14:val="tx1"/>
                  </w14:solidFill>
                </w14:textFill>
              </w:rPr>
            </w:pPr>
            <w:r>
              <w:fldChar w:fldCharType="begin"/>
            </w:r>
            <w:r>
              <w:instrText xml:space="preserve"> HYPERLINK "https://lingua.lnu.edu.ua/department/mizhkulturnoji-komunikatsiji-ta-perekladu" \h </w:instrText>
            </w:r>
            <w:r>
              <w:fldChar w:fldCharType="separate"/>
            </w:r>
            <w:r>
              <w:rPr>
                <w:rStyle w:val="3"/>
                <w:rFonts w:ascii="Times New Roman" w:hAnsi="Times New Roman" w:eastAsia="Times New Roman" w:cs="Times New Roman"/>
              </w:rPr>
              <w:t>https://lingua.lnu.edu.ua/department/mizhkulturnoji-komunikatsiji-ta-perekladu</w:t>
            </w:r>
            <w:r>
              <w:rPr>
                <w:rStyle w:val="3"/>
                <w:rFonts w:ascii="Times New Roman" w:hAnsi="Times New Roman" w:eastAsia="Times New Roman" w:cs="Times New Roman"/>
              </w:rPr>
              <w:fldChar w:fldCharType="end"/>
            </w:r>
            <w:r>
              <w:rPr>
                <w:rFonts w:ascii="Times New Roman" w:hAnsi="Times New Roman" w:eastAsia="Times New Roman" w:cs="Times New Roman"/>
                <w:color w:val="000000" w:themeColor="text1"/>
                <w14:textFill>
                  <w14:solidFill>
                    <w14:schemeClr w14:val="tx1"/>
                  </w14:solidFill>
                </w14:textFill>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Коротка анотація курсу</w:t>
            </w:r>
          </w:p>
        </w:tc>
        <w:tc>
          <w:tcPr>
            <w:tcW w:w="6240" w:type="dxa"/>
          </w:tcPr>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Дисципліна «</w:t>
            </w:r>
            <w:r>
              <w:rPr>
                <w:rFonts w:ascii="Times New Roman" w:hAnsi="Times New Roman" w:eastAsia="Times New Roman" w:cs="Times New Roman"/>
                <w:b/>
                <w:bCs/>
                <w:color w:val="000000" w:themeColor="text1"/>
                <w:sz w:val="24"/>
                <w:szCs w:val="24"/>
                <w14:textFill>
                  <w14:solidFill>
                    <w14:schemeClr w14:val="tx1"/>
                  </w14:solidFill>
                </w14:textFill>
              </w:rPr>
              <w:t>Перша іноземна мова</w:t>
            </w:r>
            <w:r>
              <w:rPr>
                <w:rFonts w:ascii="Times New Roman" w:hAnsi="Times New Roman" w:eastAsia="Times New Roman" w:cs="Times New Roman"/>
                <w:color w:val="000000" w:themeColor="text1"/>
                <w:sz w:val="24"/>
                <w:szCs w:val="24"/>
                <w14:textFill>
                  <w14:solidFill>
                    <w14:schemeClr w14:val="tx1"/>
                  </w14:solidFill>
                </w14:textFill>
              </w:rPr>
              <w:t>» є обов’язковою дисципліною зі спеціальності 035 Філологія для освітньої програми ОС «бакалавр», яка викладається в 1-8 семестрі в загальному обсязі 48 кредитів (за Європейською Кредитно-Трансферною Системою ECTS), при цьому у 1–2-ому семестрі студент має можливість отримати 10,5 та 9,5 кредити ECTS відповідно.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Мета та цілі курсу</w:t>
            </w:r>
          </w:p>
        </w:tc>
        <w:tc>
          <w:tcPr>
            <w:tcW w:w="6240" w:type="dxa"/>
          </w:tcPr>
          <w:p>
            <w:pPr>
              <w:spacing w:after="12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i/>
                <w:iCs/>
                <w:color w:val="000000" w:themeColor="text1"/>
                <w:sz w:val="24"/>
                <w:szCs w:val="24"/>
                <w14:textFill>
                  <w14:solidFill>
                    <w14:schemeClr w14:val="tx1"/>
                  </w14:solidFill>
                </w14:textFill>
              </w:rPr>
              <w:t>Мета:</w:t>
            </w:r>
            <w:r>
              <w:rPr>
                <w:rFonts w:ascii="Times New Roman" w:hAnsi="Times New Roman" w:eastAsia="Times New Roman" w:cs="Times New Roman"/>
                <w:color w:val="000000" w:themeColor="text1"/>
                <w:sz w:val="24"/>
                <w:szCs w:val="24"/>
                <w14:textFill>
                  <w14:solidFill>
                    <w14:schemeClr w14:val="tx1"/>
                  </w14:solidFill>
                </w14:textFill>
              </w:rPr>
              <w:t xml:space="preserve">  поглибити лексичні і граматичні знання студентів з німецької мови – першої іноземної мови фахового спрямування. У рамках курсу у повному обсязі  розглядаються  основні  граматичні  теми,  з  відповідним  теоретичним обґрунтуванням та практичним засвоєнням у рамках семи лексичних блоків, що тематично  охоплюють  увесь  спектр  широковживаних  лексичних  та  мовно-стилістичних засобів. Такий комплексний підхід, у поєднанні із опрацюванням фонетичних вправ та домашнім читанням, дозволяє досягнути значного мовного прогресу  студентів  та  здобути  ними  мовних  знань,  необхідних  для  засвоєння подальших дисциплін професійного спрямування.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i/>
                <w:iCs/>
                <w:color w:val="000000" w:themeColor="text1"/>
                <w:sz w:val="24"/>
                <w:szCs w:val="24"/>
                <w14:textFill>
                  <w14:solidFill>
                    <w14:schemeClr w14:val="tx1"/>
                  </w14:solidFill>
                </w14:textFill>
              </w:rPr>
              <w:t>Завдання:</w:t>
            </w:r>
          </w:p>
          <w:p>
            <w:pPr>
              <w:tabs>
                <w:tab w:val="left" w:pos="284"/>
                <w:tab w:val="left" w:pos="567"/>
              </w:tabs>
              <w:spacing w:after="200" w:line="276" w:lineRule="auto"/>
              <w:jc w:val="both"/>
              <w:rPr>
                <w:rFonts w:ascii="Times New Roman" w:hAnsi="Times New Roman" w:eastAsia="Times New Roman" w:cs="Times New Roman"/>
                <w:b/>
                <w:bCs/>
                <w:i/>
                <w:iCs/>
                <w:color w:val="000000" w:themeColor="text1"/>
                <w:sz w:val="24"/>
                <w:szCs w:val="24"/>
                <w14:textFill>
                  <w14:solidFill>
                    <w14:schemeClr w14:val="tx1"/>
                  </w14:solidFill>
                </w14:textFill>
              </w:rPr>
            </w:pPr>
            <w:r>
              <w:rPr>
                <w:rFonts w:ascii="Times New Roman" w:hAnsi="Times New Roman" w:eastAsia="Times New Roman" w:cs="Times New Roman"/>
                <w:b/>
                <w:bCs/>
                <w:i/>
                <w:iCs/>
                <w:color w:val="000000" w:themeColor="text1"/>
                <w:sz w:val="24"/>
                <w:szCs w:val="24"/>
                <w14:textFill>
                  <w14:solidFill>
                    <w14:schemeClr w14:val="tx1"/>
                  </w14:solidFill>
                </w14:textFill>
              </w:rPr>
              <w:t>полягає  у  засвоєнні  студентами  ґрунтовних  знань нормативної граматики німецької мови та збільшення активного лексичного запасу для здійснення  комунікації  іноземною  мовою  в  різноманітних  ситуаціях соціального, навчально-академічного та професійного спілкування до поставленої комунікативної  мети. Окрему  увагу  приділено  здатності  студентами систематизувати  та  поглиблювати  знання мови  і  культури  іноземної  мови на принципі єдності тематичного та інтеркультурного аспектів.</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w:t>
            </w:r>
            <w:r>
              <w:tab/>
            </w:r>
            <w:r>
              <w:rPr>
                <w:rFonts w:ascii="Times New Roman" w:hAnsi="Times New Roman" w:eastAsia="Times New Roman" w:cs="Times New Roman"/>
                <w:color w:val="000000" w:themeColor="text1"/>
                <w:sz w:val="24"/>
                <w:szCs w:val="24"/>
                <w14:textFill>
                  <w14:solidFill>
                    <w14:schemeClr w14:val="tx1"/>
                  </w14:solidFill>
                </w14:textFill>
              </w:rPr>
              <w:t>послідовний розвиток усіх чотирьох аспектів мови (аудіювання, читання, мовлення та письмо); формування у студентів здатності спілкуватися німецькою мовою;</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w:t>
            </w:r>
            <w:r>
              <w:tab/>
            </w:r>
            <w:r>
              <w:rPr>
                <w:rFonts w:ascii="Times New Roman" w:hAnsi="Times New Roman" w:eastAsia="Times New Roman" w:cs="Times New Roman"/>
                <w:color w:val="000000" w:themeColor="text1"/>
                <w:sz w:val="24"/>
                <w:szCs w:val="24"/>
                <w14:textFill>
                  <w14:solidFill>
                    <w14:schemeClr w14:val="tx1"/>
                  </w14:solidFill>
                </w14:textFill>
              </w:rPr>
              <w:t>розвиток навичок самостійного, дистанційного та автономного навчання;</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w:t>
            </w:r>
            <w:r>
              <w:tab/>
            </w:r>
            <w:r>
              <w:rPr>
                <w:rFonts w:ascii="Times New Roman" w:hAnsi="Times New Roman" w:eastAsia="Times New Roman" w:cs="Times New Roman"/>
                <w:color w:val="000000" w:themeColor="text1"/>
                <w:sz w:val="24"/>
                <w:szCs w:val="24"/>
                <w14:textFill>
                  <w14:solidFill>
                    <w14:schemeClr w14:val="tx1"/>
                  </w14:solidFill>
                </w14:textFill>
              </w:rPr>
              <w:t>ознайомлення студентів  з новітніми стратегіями та підходами до роботи з мовою, заохочення до їхнього використання;</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w:t>
            </w:r>
            <w:r>
              <w:tab/>
            </w:r>
            <w:r>
              <w:rPr>
                <w:rFonts w:ascii="Times New Roman" w:hAnsi="Times New Roman" w:eastAsia="Times New Roman" w:cs="Times New Roman"/>
                <w:color w:val="000000" w:themeColor="text1"/>
                <w:sz w:val="24"/>
                <w:szCs w:val="24"/>
                <w14:textFill>
                  <w14:solidFill>
                    <w14:schemeClr w14:val="tx1"/>
                  </w14:solidFill>
                </w14:textFill>
              </w:rPr>
              <w:t>формування здатності генерувати нові ідеї, уміння сприймати лексичну інформацію на слух та передавати на письмі;</w:t>
            </w:r>
          </w:p>
          <w:p>
            <w:pPr>
              <w:pStyle w:val="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формування здатності працювати в міжнародних проектах та міжкультурних ситуаціях.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Література для вивчення дисципліни</w:t>
            </w:r>
          </w:p>
        </w:tc>
        <w:tc>
          <w:tcPr>
            <w:tcW w:w="6240" w:type="dxa"/>
          </w:tcPr>
          <w:p>
            <w:pPr>
              <w:spacing w:after="200" w:line="276"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i/>
                <w:iCs/>
                <w:color w:val="000000" w:themeColor="text1"/>
                <w:sz w:val="24"/>
                <w:szCs w:val="24"/>
                <w14:textFill>
                  <w14:solidFill>
                    <w14:schemeClr w14:val="tx1"/>
                  </w14:solidFill>
                </w14:textFill>
              </w:rPr>
              <w:t>Основна</w:t>
            </w:r>
          </w:p>
          <w:p>
            <w:pPr>
              <w:pStyle w:val="10"/>
              <w:numPr>
                <w:ilvl w:val="0"/>
                <w:numId w:val="1"/>
              </w:numPr>
              <w:spacing w:after="200" w:line="276" w:lineRule="auto"/>
              <w:jc w:val="both"/>
              <w:rPr>
                <w:rFonts w:ascii="Times New Roman" w:hAnsi="Times New Roman" w:eastAsia="Times New Roman" w:cs="Times New Roman"/>
                <w:color w:val="000000" w:themeColor="text1"/>
                <w:sz w:val="24"/>
                <w:szCs w:val="24"/>
                <w:lang w:val="ru-RU"/>
                <w14:textFill>
                  <w14:solidFill>
                    <w14:schemeClr w14:val="tx1"/>
                  </w14:solidFill>
                </w14:textFill>
              </w:rPr>
            </w:pPr>
            <w:r>
              <w:rPr>
                <w:rFonts w:ascii="Times New Roman" w:hAnsi="Times New Roman" w:eastAsia="Times New Roman" w:cs="Times New Roman"/>
                <w:color w:val="000000" w:themeColor="text1"/>
                <w:sz w:val="24"/>
                <w:szCs w:val="24"/>
                <w:lang w:val="de-DE"/>
                <w14:textFill>
                  <w14:solidFill>
                    <w14:schemeClr w14:val="tx1"/>
                  </w14:solidFill>
                </w14:textFill>
              </w:rPr>
              <w:t xml:space="preserve">Login 1. Deutsch für Germanistikstudenten:  Lehrbuch. –Під ред. </w:t>
            </w:r>
            <w:r>
              <w:rPr>
                <w:rFonts w:ascii="Times New Roman" w:hAnsi="Times New Roman" w:eastAsia="Times New Roman" w:cs="Times New Roman"/>
                <w:color w:val="000000" w:themeColor="text1"/>
                <w:sz w:val="24"/>
                <w:szCs w:val="24"/>
                <w:lang w:val="ru-RU"/>
                <w14:textFill>
                  <w14:solidFill>
                    <w14:schemeClr w14:val="tx1"/>
                  </w14:solidFill>
                </w14:textFill>
              </w:rPr>
              <w:t>Сидорова О.В. – Вінниця: Нова книга, 2014. –345с.</w:t>
            </w:r>
          </w:p>
          <w:p>
            <w:pPr>
              <w:pStyle w:val="10"/>
              <w:numPr>
                <w:ilvl w:val="0"/>
                <w:numId w:val="1"/>
              </w:numPr>
              <w:spacing w:after="200" w:line="276" w:lineRule="auto"/>
              <w:jc w:val="both"/>
              <w:rPr>
                <w:rFonts w:ascii="Times New Roman" w:hAnsi="Times New Roman" w:eastAsia="Times New Roman" w:cs="Times New Roman"/>
                <w:color w:val="000000" w:themeColor="text1"/>
                <w:sz w:val="24"/>
                <w:szCs w:val="24"/>
                <w:lang w:val="de-DE"/>
                <w14:textFill>
                  <w14:solidFill>
                    <w14:schemeClr w14:val="tx1"/>
                  </w14:solidFill>
                </w14:textFill>
              </w:rPr>
            </w:pPr>
            <w:r>
              <w:rPr>
                <w:rFonts w:ascii="Times New Roman" w:hAnsi="Times New Roman" w:eastAsia="Times New Roman" w:cs="Times New Roman"/>
                <w:color w:val="000000" w:themeColor="text1"/>
                <w:sz w:val="24"/>
                <w:szCs w:val="24"/>
                <w:lang w:val="de-DE"/>
                <w14:textFill>
                  <w14:solidFill>
                    <w14:schemeClr w14:val="tx1"/>
                  </w14:solidFill>
                </w14:textFill>
              </w:rPr>
              <w:t xml:space="preserve">Földeak, Hans: Sag’s besser! Arbeitsbuch für Fortgeschrittene. –München : Hueber 2005. –152 S. </w:t>
            </w:r>
          </w:p>
          <w:p>
            <w:pPr>
              <w:pStyle w:val="10"/>
              <w:numPr>
                <w:ilvl w:val="0"/>
                <w:numId w:val="1"/>
              </w:numPr>
              <w:spacing w:after="200" w:line="276" w:lineRule="auto"/>
              <w:jc w:val="both"/>
              <w:rPr>
                <w:color w:val="000000" w:themeColor="text1"/>
                <w:sz w:val="24"/>
                <w:szCs w:val="24"/>
                <w:lang w:val="de-DE"/>
                <w14:textFill>
                  <w14:solidFill>
                    <w14:schemeClr w14:val="tx1"/>
                  </w14:solidFill>
                </w14:textFill>
              </w:rPr>
            </w:pPr>
            <w:r>
              <w:rPr>
                <w:rFonts w:ascii="Times New Roman" w:hAnsi="Times New Roman" w:eastAsia="Times New Roman" w:cs="Times New Roman"/>
                <w:color w:val="000000" w:themeColor="text1"/>
                <w:sz w:val="24"/>
                <w:szCs w:val="24"/>
                <w:lang w:val="de-DE"/>
                <w14:textFill>
                  <w14:solidFill>
                    <w14:schemeClr w14:val="tx1"/>
                  </w14:solidFill>
                </w14:textFill>
              </w:rPr>
              <w:t xml:space="preserve"> Deutsche Grammatik: навч. посібник /Драб Н.Л., Скринька С., Стаброз С.–Вінниця: Нова книга, 2007. –275 с.</w:t>
            </w:r>
          </w:p>
          <w:p>
            <w:pPr>
              <w:pStyle w:val="10"/>
              <w:numPr>
                <w:ilvl w:val="0"/>
                <w:numId w:val="1"/>
              </w:numPr>
              <w:spacing w:after="200" w:line="276" w:lineRule="auto"/>
              <w:jc w:val="both"/>
              <w:rPr>
                <w:color w:val="000000" w:themeColor="text1"/>
                <w:sz w:val="24"/>
                <w:szCs w:val="24"/>
                <w:lang w:val="de-DE"/>
                <w14:textFill>
                  <w14:solidFill>
                    <w14:schemeClr w14:val="tx1"/>
                  </w14:solidFill>
                </w14:textFill>
              </w:rPr>
            </w:pPr>
            <w:r>
              <w:rPr>
                <w:rFonts w:ascii="Times New Roman" w:hAnsi="Times New Roman" w:eastAsia="Times New Roman" w:cs="Times New Roman"/>
                <w:color w:val="000000" w:themeColor="text1"/>
                <w:sz w:val="24"/>
                <w:szCs w:val="24"/>
                <w:lang w:val="de-DE"/>
                <w14:textFill>
                  <w14:solidFill>
                    <w14:schemeClr w14:val="tx1"/>
                  </w14:solidFill>
                </w14:textFill>
              </w:rPr>
              <w:t>Em Übungsgrammatik /Axel  Hering,  Magdalena  Matussek,  Michaela  Permann-Balme: Max Hueber Verlag2006. –248S.</w:t>
            </w:r>
          </w:p>
          <w:p>
            <w:pPr>
              <w:pStyle w:val="10"/>
              <w:numPr>
                <w:ilvl w:val="0"/>
                <w:numId w:val="1"/>
              </w:numPr>
              <w:spacing w:after="200" w:line="276" w:lineRule="auto"/>
              <w:jc w:val="both"/>
              <w:rPr>
                <w:color w:val="000000" w:themeColor="text1"/>
                <w:sz w:val="24"/>
                <w:szCs w:val="24"/>
                <w:lang w:val="de-DE"/>
                <w14:textFill>
                  <w14:solidFill>
                    <w14:schemeClr w14:val="tx1"/>
                  </w14:solidFill>
                </w14:textFill>
              </w:rPr>
            </w:pPr>
            <w:r>
              <w:rPr>
                <w:rFonts w:ascii="Times New Roman" w:hAnsi="Times New Roman" w:eastAsia="Times New Roman" w:cs="Times New Roman"/>
                <w:color w:val="000000" w:themeColor="text1"/>
                <w:sz w:val="24"/>
                <w:szCs w:val="24"/>
                <w:lang w:val="de-DE"/>
                <w14:textFill>
                  <w14:solidFill>
                    <w14:schemeClr w14:val="tx1"/>
                  </w14:solidFill>
                </w14:textFill>
              </w:rPr>
              <w:t>Grammatik aktiv: verstehen, üben, sprechen: Cornelsen 2005. –311S.</w:t>
            </w:r>
          </w:p>
          <w:p>
            <w:pPr>
              <w:pStyle w:val="10"/>
              <w:numPr>
                <w:ilvl w:val="0"/>
                <w:numId w:val="1"/>
              </w:numPr>
              <w:spacing w:after="200" w:line="276" w:lineRule="auto"/>
              <w:jc w:val="both"/>
              <w:rPr>
                <w:color w:val="000000" w:themeColor="text1"/>
                <w:sz w:val="24"/>
                <w:szCs w:val="24"/>
                <w:lang w:val="ru-RU"/>
                <w14:textFill>
                  <w14:solidFill>
                    <w14:schemeClr w14:val="tx1"/>
                  </w14:solidFill>
                </w14:textFill>
              </w:rPr>
            </w:pPr>
            <w:r>
              <w:rPr>
                <w:rFonts w:ascii="Times New Roman" w:hAnsi="Times New Roman" w:eastAsia="Times New Roman" w:cs="Times New Roman"/>
                <w:color w:val="000000" w:themeColor="text1"/>
                <w:sz w:val="24"/>
                <w:szCs w:val="24"/>
                <w:lang w:val="ru-RU"/>
                <w14:textFill>
                  <w14:solidFill>
                    <w14:schemeClr w14:val="tx1"/>
                  </w14:solidFill>
                </w14:textFill>
              </w:rPr>
              <w:t>Граматика німецької мови для перекладачів : навч. посібник / В. Т. Сулим, М. С. Смолій. –Львів: ЛНУ імені Івана Франка, 2018. –352 с.</w:t>
            </w:r>
          </w:p>
          <w:p>
            <w:pPr>
              <w:pStyle w:val="10"/>
              <w:numPr>
                <w:ilvl w:val="0"/>
                <w:numId w:val="1"/>
              </w:numPr>
              <w:spacing w:after="200" w:line="276" w:lineRule="auto"/>
              <w:jc w:val="both"/>
              <w:rPr>
                <w:color w:val="000000" w:themeColor="text1"/>
                <w:sz w:val="24"/>
                <w:szCs w:val="24"/>
                <w:lang w:val="ru-RU"/>
                <w14:textFill>
                  <w14:solidFill>
                    <w14:schemeClr w14:val="tx1"/>
                  </w14:solidFill>
                </w14:textFill>
              </w:rPr>
            </w:pPr>
            <w:r>
              <w:rPr>
                <w:rFonts w:ascii="Times New Roman" w:hAnsi="Times New Roman" w:eastAsia="Times New Roman" w:cs="Times New Roman"/>
                <w:color w:val="000000" w:themeColor="text1"/>
                <w:sz w:val="24"/>
                <w:szCs w:val="24"/>
                <w:lang w:val="ru-RU"/>
                <w14:textFill>
                  <w14:solidFill>
                    <w14:schemeClr w14:val="tx1"/>
                  </w14:solidFill>
                </w14:textFill>
              </w:rPr>
              <w:t>Савченко Л.А., Білоус О.М. та ін. Практична граматика німецької мови, Вінниця: Нова книга, 2018.</w:t>
            </w:r>
          </w:p>
          <w:p>
            <w:pPr>
              <w:pStyle w:val="10"/>
              <w:numPr>
                <w:ilvl w:val="0"/>
                <w:numId w:val="1"/>
              </w:numPr>
              <w:spacing w:after="200" w:line="276" w:lineRule="auto"/>
              <w:jc w:val="both"/>
              <w:rPr>
                <w:color w:val="000000" w:themeColor="text1"/>
                <w:sz w:val="24"/>
                <w:szCs w:val="24"/>
                <w:lang w:val="ru-RU"/>
                <w14:textFill>
                  <w14:solidFill>
                    <w14:schemeClr w14:val="tx1"/>
                  </w14:solidFill>
                </w14:textFill>
              </w:rPr>
            </w:pPr>
            <w:r>
              <w:rPr>
                <w:rFonts w:ascii="Times New Roman" w:hAnsi="Times New Roman" w:eastAsia="Times New Roman" w:cs="Times New Roman"/>
                <w:color w:val="000000" w:themeColor="text1"/>
                <w:sz w:val="24"/>
                <w:szCs w:val="24"/>
                <w:lang w:val="ru-RU"/>
                <w14:textFill>
                  <w14:solidFill>
                    <w14:schemeClr w14:val="tx1"/>
                  </w14:solidFill>
                </w14:textFill>
              </w:rPr>
              <w:t>Шендельс Е.И. Практическая грамматика немецкого языка. –М.: Высш. шк., 1986.</w:t>
            </w:r>
          </w:p>
          <w:p>
            <w:pPr>
              <w:pStyle w:val="7"/>
              <w:spacing w:after="23"/>
              <w:ind w:left="14"/>
              <w:jc w:val="center"/>
              <w:rPr>
                <w:rFonts w:ascii="Calibri" w:hAnsi="Calibri" w:eastAsia="Calibri" w:cs="Calibri"/>
              </w:rPr>
            </w:pPr>
            <w:r>
              <w:rPr>
                <w:rFonts w:eastAsia="Times New Roman"/>
                <w:b/>
                <w:bCs/>
                <w:i/>
                <w:iCs/>
              </w:rPr>
              <w:t>Додаткова</w:t>
            </w:r>
            <w:r>
              <w:rPr>
                <w:rFonts w:ascii="Calibri" w:hAnsi="Calibri" w:eastAsia="Calibri" w:cs="Calibri"/>
                <w:b/>
                <w:bCs/>
                <w:i/>
                <w:iCs/>
              </w:rPr>
              <w:t xml:space="preserve"> </w:t>
            </w:r>
          </w:p>
          <w:p>
            <w:pPr>
              <w:pStyle w:val="10"/>
              <w:numPr>
                <w:ilvl w:val="0"/>
                <w:numId w:val="2"/>
              </w:numPr>
              <w:spacing w:after="200" w:line="276" w:lineRule="auto"/>
              <w:jc w:val="both"/>
              <w:rPr>
                <w:rFonts w:eastAsiaTheme="minorEastAsia"/>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de-DE"/>
                <w14:textFill>
                  <w14:solidFill>
                    <w14:schemeClr w14:val="tx1"/>
                  </w14:solidFill>
                </w14:textFill>
              </w:rPr>
              <w:t>Dreyer H., Schmitt R. Lehr- und Übungsbuch der deutschen Grammatik. Ismaning : Hueber-Verlag, 2009. 390 S.</w:t>
            </w:r>
          </w:p>
          <w:p>
            <w:pPr>
              <w:pStyle w:val="10"/>
              <w:numPr>
                <w:ilvl w:val="0"/>
                <w:numId w:val="2"/>
              </w:numPr>
              <w:spacing w:after="200" w:line="276" w:lineRule="auto"/>
              <w:jc w:val="both"/>
              <w:rPr>
                <w:rFonts w:eastAsiaTheme="minorEastAsia"/>
                <w:color w:val="000000" w:themeColor="text1"/>
                <w:sz w:val="24"/>
                <w:szCs w:val="24"/>
                <w:lang w:val="de-DE"/>
                <w14:textFill>
                  <w14:solidFill>
                    <w14:schemeClr w14:val="tx1"/>
                  </w14:solidFill>
                </w14:textFill>
              </w:rPr>
            </w:pPr>
            <w:r>
              <w:rPr>
                <w:rFonts w:ascii="Times New Roman" w:hAnsi="Times New Roman" w:eastAsia="Times New Roman" w:cs="Times New Roman"/>
                <w:color w:val="000000" w:themeColor="text1"/>
                <w:sz w:val="24"/>
                <w:szCs w:val="24"/>
                <w:lang w:val="de-DE"/>
                <w14:textFill>
                  <w14:solidFill>
                    <w14:schemeClr w14:val="tx1"/>
                  </w14:solidFill>
                </w14:textFill>
              </w:rPr>
              <w:t xml:space="preserve">Bock H., Langenscheidt-Redaktion.  Grundwortschatz Deutsch. Lernwörterbuch. Berlin; München; Zürich: Langenscheidt, 1998. </w:t>
            </w:r>
          </w:p>
          <w:p>
            <w:pPr>
              <w:pStyle w:val="10"/>
              <w:numPr>
                <w:ilvl w:val="0"/>
                <w:numId w:val="2"/>
              </w:numPr>
              <w:spacing w:after="200" w:line="276" w:lineRule="auto"/>
              <w:jc w:val="both"/>
              <w:rPr>
                <w:color w:val="000000" w:themeColor="text1"/>
                <w:sz w:val="24"/>
                <w:szCs w:val="24"/>
                <w:lang w:val="de-DE"/>
                <w14:textFill>
                  <w14:solidFill>
                    <w14:schemeClr w14:val="tx1"/>
                  </w14:solidFill>
                </w14:textFill>
              </w:rPr>
            </w:pPr>
            <w:r>
              <w:rPr>
                <w:rFonts w:ascii="Times New Roman" w:hAnsi="Times New Roman" w:eastAsia="Times New Roman" w:cs="Times New Roman"/>
                <w:color w:val="000000" w:themeColor="text1"/>
                <w:sz w:val="24"/>
                <w:szCs w:val="24"/>
                <w:lang w:val="de-DE"/>
                <w14:textFill>
                  <w14:solidFill>
                    <w14:schemeClr w14:val="tx1"/>
                  </w14:solidFill>
                </w14:textFill>
              </w:rPr>
              <w:t xml:space="preserve">Bock H., Müller J. Grundwortschatz Deutsch. Übungsbuch. Berlin; München; Zürich: Langenscheidt, 1998.  </w:t>
            </w:r>
          </w:p>
          <w:p>
            <w:pPr>
              <w:pStyle w:val="10"/>
              <w:numPr>
                <w:ilvl w:val="0"/>
                <w:numId w:val="2"/>
              </w:numPr>
              <w:spacing w:after="200" w:line="276" w:lineRule="auto"/>
              <w:jc w:val="both"/>
              <w:rPr>
                <w:color w:val="000000" w:themeColor="text1"/>
                <w:sz w:val="24"/>
                <w:szCs w:val="24"/>
                <w:lang w:val="de-DE"/>
                <w14:textFill>
                  <w14:solidFill>
                    <w14:schemeClr w14:val="tx1"/>
                  </w14:solidFill>
                </w14:textFill>
              </w:rPr>
            </w:pPr>
            <w:r>
              <w:rPr>
                <w:rFonts w:ascii="Times New Roman" w:hAnsi="Times New Roman" w:eastAsia="Times New Roman" w:cs="Times New Roman"/>
                <w:color w:val="000000" w:themeColor="text1"/>
                <w:sz w:val="24"/>
                <w:szCs w:val="24"/>
                <w:lang w:val="de-DE"/>
                <w14:textFill>
                  <w14:solidFill>
                    <w14:schemeClr w14:val="tx1"/>
                  </w14:solidFill>
                </w14:textFill>
              </w:rPr>
              <w:t>Helbig G., Buscha J. Deutsche Grammatik. Ein Handbuch für den Ausländerunterricht. Leipzig-Berlin-München-Wien-Zürich-New  York:  Langenscheidt-Verl-: Enzyklopädie, 1993.</w:t>
            </w:r>
          </w:p>
          <w:p>
            <w:pPr>
              <w:pStyle w:val="10"/>
              <w:numPr>
                <w:ilvl w:val="0"/>
                <w:numId w:val="2"/>
              </w:numPr>
              <w:spacing w:after="200" w:line="276" w:lineRule="auto"/>
              <w:jc w:val="both"/>
              <w:rPr>
                <w:color w:val="000000" w:themeColor="text1"/>
                <w:sz w:val="24"/>
                <w:szCs w:val="24"/>
                <w:lang w:val="de-DE"/>
                <w14:textFill>
                  <w14:solidFill>
                    <w14:schemeClr w14:val="tx1"/>
                  </w14:solidFill>
                </w14:textFill>
              </w:rPr>
            </w:pPr>
            <w:r>
              <w:rPr>
                <w:rFonts w:ascii="Times New Roman" w:hAnsi="Times New Roman" w:eastAsia="Times New Roman" w:cs="Times New Roman"/>
                <w:color w:val="000000" w:themeColor="text1"/>
                <w:sz w:val="24"/>
                <w:szCs w:val="24"/>
                <w:lang w:val="de-DE"/>
                <w14:textFill>
                  <w14:solidFill>
                    <w14:schemeClr w14:val="tx1"/>
                  </w14:solidFill>
                </w14:textFill>
              </w:rPr>
              <w:t>Helbig G., Buscha J. Übungsgrammatik. Deutsch. –Leipzig -Berlin -Wien –Zürich -New Jork: Langenscheidt-Verl.: Enzyklopädie, 1998.</w:t>
            </w:r>
          </w:p>
          <w:p>
            <w:pPr>
              <w:pStyle w:val="10"/>
              <w:numPr>
                <w:ilvl w:val="0"/>
                <w:numId w:val="2"/>
              </w:numPr>
              <w:spacing w:after="200" w:line="276" w:lineRule="auto"/>
              <w:jc w:val="both"/>
              <w:rPr>
                <w:color w:val="000000" w:themeColor="text1"/>
                <w:sz w:val="24"/>
                <w:szCs w:val="24"/>
                <w:lang w:val="de-DE"/>
                <w14:textFill>
                  <w14:solidFill>
                    <w14:schemeClr w14:val="tx1"/>
                  </w14:solidFill>
                </w14:textFill>
              </w:rPr>
            </w:pPr>
            <w:r>
              <w:rPr>
                <w:rFonts w:ascii="Times New Roman" w:hAnsi="Times New Roman" w:eastAsia="Times New Roman" w:cs="Times New Roman"/>
                <w:color w:val="000000" w:themeColor="text1"/>
                <w:sz w:val="24"/>
                <w:szCs w:val="24"/>
                <w:lang w:val="de-DE"/>
                <w14:textFill>
                  <w14:solidFill>
                    <w14:schemeClr w14:val="tx1"/>
                  </w14:solidFill>
                </w14:textFill>
              </w:rPr>
              <w:t xml:space="preserve">Herzog A. Idiomatische Redewendungen von A-Z. Berlin; München: Langenscheidt, 1998. </w:t>
            </w:r>
          </w:p>
          <w:p>
            <w:pPr>
              <w:pStyle w:val="10"/>
              <w:numPr>
                <w:ilvl w:val="0"/>
                <w:numId w:val="2"/>
              </w:numPr>
              <w:spacing w:after="200" w:line="276" w:lineRule="auto"/>
              <w:jc w:val="both"/>
              <w:rPr>
                <w:color w:val="000000" w:themeColor="text1"/>
                <w:sz w:val="24"/>
                <w:szCs w:val="24"/>
                <w:lang w:val="de-DE"/>
                <w14:textFill>
                  <w14:solidFill>
                    <w14:schemeClr w14:val="tx1"/>
                  </w14:solidFill>
                </w14:textFill>
              </w:rPr>
            </w:pPr>
            <w:r>
              <w:rPr>
                <w:rFonts w:ascii="Times New Roman" w:hAnsi="Times New Roman" w:eastAsia="Times New Roman" w:cs="Times New Roman"/>
                <w:color w:val="000000" w:themeColor="text1"/>
                <w:sz w:val="24"/>
                <w:szCs w:val="24"/>
                <w:lang w:val="de-DE"/>
                <w14:textFill>
                  <w14:solidFill>
                    <w14:schemeClr w14:val="tx1"/>
                  </w14:solidFill>
                </w14:textFill>
              </w:rPr>
              <w:t>Hirschfeld  U.,  Reinke  K.  Phonetik  Simsalabim.  Übungskurs  für  Deutschlernende. München: Langenscheidt, 2001.</w:t>
            </w:r>
          </w:p>
          <w:p>
            <w:pPr>
              <w:pStyle w:val="10"/>
              <w:numPr>
                <w:ilvl w:val="0"/>
                <w:numId w:val="2"/>
              </w:numPr>
              <w:spacing w:after="200" w:line="276" w:lineRule="auto"/>
              <w:jc w:val="both"/>
              <w:rPr>
                <w:color w:val="000000" w:themeColor="text1"/>
                <w:sz w:val="24"/>
                <w:szCs w:val="24"/>
                <w:lang w:val="de-DE"/>
                <w14:textFill>
                  <w14:solidFill>
                    <w14:schemeClr w14:val="tx1"/>
                  </w14:solidFill>
                </w14:textFill>
              </w:rPr>
            </w:pPr>
            <w:r>
              <w:rPr>
                <w:rFonts w:ascii="Times New Roman" w:hAnsi="Times New Roman" w:eastAsia="Times New Roman" w:cs="Times New Roman"/>
                <w:color w:val="000000" w:themeColor="text1"/>
                <w:sz w:val="24"/>
                <w:szCs w:val="24"/>
                <w:lang w:val="de-DE"/>
                <w14:textFill>
                  <w14:solidFill>
                    <w14:schemeClr w14:val="tx1"/>
                  </w14:solidFill>
                </w14:textFill>
              </w:rPr>
              <w:t>Zielinski W.-D. ABC der deutschen Nebensätze.München:Hueber,1996.</w:t>
            </w:r>
          </w:p>
          <w:p>
            <w:pPr>
              <w:tabs>
                <w:tab w:val="left" w:pos="365"/>
              </w:tabs>
              <w:spacing w:before="14" w:after="200" w:line="276"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Інтернет-ресурси</w:t>
            </w:r>
          </w:p>
          <w:p>
            <w:pPr>
              <w:pStyle w:val="10"/>
              <w:numPr>
                <w:ilvl w:val="0"/>
                <w:numId w:val="3"/>
              </w:numPr>
              <w:tabs>
                <w:tab w:val="left" w:pos="284"/>
              </w:tabs>
              <w:spacing w:after="200" w:line="276" w:lineRule="auto"/>
              <w:ind w:left="426" w:firstLine="0"/>
              <w:jc w:val="both"/>
              <w:rPr>
                <w:rFonts w:eastAsiaTheme="minorEastAsia"/>
                <w:color w:val="000000" w:themeColor="text1"/>
                <w:sz w:val="24"/>
                <w:szCs w:val="24"/>
                <w14:textFill>
                  <w14:solidFill>
                    <w14:schemeClr w14:val="tx1"/>
                  </w14:solidFill>
                </w14:textFill>
              </w:rPr>
            </w:pPr>
            <w:r>
              <w:fldChar w:fldCharType="begin"/>
            </w:r>
            <w:r>
              <w:instrText xml:space="preserve"> HYPERLINK "http://www.goethe.de/" \h </w:instrText>
            </w:r>
            <w:r>
              <w:fldChar w:fldCharType="separate"/>
            </w:r>
            <w:r>
              <w:rPr>
                <w:rStyle w:val="3"/>
                <w:rFonts w:ascii="Times New Roman" w:hAnsi="Times New Roman" w:eastAsia="Times New Roman" w:cs="Times New Roman"/>
                <w:sz w:val="24"/>
                <w:szCs w:val="24"/>
              </w:rPr>
              <w:t>http://www.goethe.de/</w:t>
            </w:r>
            <w:r>
              <w:rPr>
                <w:rStyle w:val="3"/>
                <w:rFonts w:ascii="Times New Roman" w:hAnsi="Times New Roman" w:eastAsia="Times New Roman" w:cs="Times New Roman"/>
                <w:sz w:val="24"/>
                <w:szCs w:val="24"/>
              </w:rPr>
              <w:fldChar w:fldCharType="end"/>
            </w:r>
          </w:p>
          <w:p>
            <w:pPr>
              <w:pStyle w:val="10"/>
              <w:numPr>
                <w:ilvl w:val="0"/>
                <w:numId w:val="3"/>
              </w:numPr>
              <w:tabs>
                <w:tab w:val="left" w:pos="284"/>
              </w:tabs>
              <w:spacing w:after="200" w:line="276" w:lineRule="auto"/>
              <w:ind w:left="426" w:firstLine="0"/>
              <w:jc w:val="both"/>
              <w:rPr>
                <w:rFonts w:eastAsiaTheme="minorEastAsia"/>
                <w:color w:val="000000" w:themeColor="text1"/>
                <w:sz w:val="24"/>
                <w:szCs w:val="24"/>
                <w14:textFill>
                  <w14:solidFill>
                    <w14:schemeClr w14:val="tx1"/>
                  </w14:solidFill>
                </w14:textFill>
              </w:rPr>
            </w:pPr>
            <w:r>
              <w:fldChar w:fldCharType="begin"/>
            </w:r>
            <w:r>
              <w:instrText xml:space="preserve"> HYPERLINK "http://www.hueber.de/deutsch-als-fremdsprache/" \h </w:instrText>
            </w:r>
            <w:r>
              <w:fldChar w:fldCharType="separate"/>
            </w:r>
            <w:r>
              <w:rPr>
                <w:rStyle w:val="3"/>
                <w:rFonts w:ascii="Times New Roman" w:hAnsi="Times New Roman" w:eastAsia="Times New Roman" w:cs="Times New Roman"/>
                <w:sz w:val="24"/>
                <w:szCs w:val="24"/>
              </w:rPr>
              <w:t>http://www.hueber.de/deutsch-als-fremdsprache/</w:t>
            </w:r>
            <w:r>
              <w:rPr>
                <w:rStyle w:val="3"/>
                <w:rFonts w:ascii="Times New Roman" w:hAnsi="Times New Roman" w:eastAsia="Times New Roman" w:cs="Times New Roman"/>
                <w:sz w:val="24"/>
                <w:szCs w:val="24"/>
              </w:rPr>
              <w:fldChar w:fldCharType="end"/>
            </w:r>
          </w:p>
          <w:p>
            <w:pPr>
              <w:pStyle w:val="10"/>
              <w:numPr>
                <w:ilvl w:val="0"/>
                <w:numId w:val="3"/>
              </w:numPr>
              <w:tabs>
                <w:tab w:val="left" w:pos="284"/>
              </w:tabs>
              <w:spacing w:after="200" w:line="276" w:lineRule="auto"/>
              <w:ind w:left="426" w:firstLine="0"/>
              <w:jc w:val="both"/>
              <w:rPr>
                <w:rFonts w:eastAsiaTheme="minorEastAsia"/>
                <w:color w:val="000000" w:themeColor="text1"/>
                <w:sz w:val="24"/>
                <w:szCs w:val="24"/>
                <w14:textFill>
                  <w14:solidFill>
                    <w14:schemeClr w14:val="tx1"/>
                  </w14:solidFill>
                </w14:textFill>
              </w:rPr>
            </w:pPr>
            <w:r>
              <w:fldChar w:fldCharType="begin"/>
            </w:r>
            <w:r>
              <w:instrText xml:space="preserve"> HYPERLINK "http://www.langenscheidt.de" \h </w:instrText>
            </w:r>
            <w:r>
              <w:fldChar w:fldCharType="separate"/>
            </w:r>
            <w:r>
              <w:rPr>
                <w:rStyle w:val="3"/>
                <w:rFonts w:ascii="Times New Roman" w:hAnsi="Times New Roman" w:eastAsia="Times New Roman" w:cs="Times New Roman"/>
                <w:sz w:val="24"/>
                <w:szCs w:val="24"/>
              </w:rPr>
              <w:t>http://www.langenscheidt.de</w:t>
            </w:r>
            <w:r>
              <w:rPr>
                <w:rStyle w:val="3"/>
                <w:rFonts w:ascii="Times New Roman" w:hAnsi="Times New Roman" w:eastAsia="Times New Roman" w:cs="Times New Roman"/>
                <w:sz w:val="24"/>
                <w:szCs w:val="24"/>
              </w:rPr>
              <w:fldChar w:fldCharType="end"/>
            </w:r>
          </w:p>
          <w:p>
            <w:pPr>
              <w:pStyle w:val="10"/>
              <w:numPr>
                <w:ilvl w:val="0"/>
                <w:numId w:val="3"/>
              </w:numPr>
              <w:tabs>
                <w:tab w:val="left" w:pos="284"/>
              </w:tabs>
              <w:spacing w:after="200" w:line="276" w:lineRule="auto"/>
              <w:ind w:left="426" w:firstLine="0"/>
              <w:jc w:val="both"/>
              <w:rPr>
                <w:rFonts w:eastAsiaTheme="minorEastAsia"/>
                <w:color w:val="000000" w:themeColor="text1"/>
                <w:sz w:val="24"/>
                <w:szCs w:val="24"/>
                <w14:textFill>
                  <w14:solidFill>
                    <w14:schemeClr w14:val="tx1"/>
                  </w14:solidFill>
                </w14:textFill>
              </w:rPr>
            </w:pPr>
            <w:r>
              <w:fldChar w:fldCharType="begin"/>
            </w:r>
            <w:r>
              <w:instrText xml:space="preserve"> HYPERLINK "http://www.pons.de/deutsch/" \h </w:instrText>
            </w:r>
            <w:r>
              <w:fldChar w:fldCharType="separate"/>
            </w:r>
            <w:r>
              <w:rPr>
                <w:rStyle w:val="3"/>
                <w:rFonts w:ascii="Times New Roman" w:hAnsi="Times New Roman" w:eastAsia="Times New Roman" w:cs="Times New Roman"/>
                <w:sz w:val="24"/>
                <w:szCs w:val="24"/>
              </w:rPr>
              <w:t>http://www.pons.de/deutsch/</w:t>
            </w:r>
            <w:r>
              <w:rPr>
                <w:rStyle w:val="3"/>
                <w:rFonts w:ascii="Times New Roman" w:hAnsi="Times New Roman" w:eastAsia="Times New Roman" w:cs="Times New Roman"/>
                <w:sz w:val="24"/>
                <w:szCs w:val="24"/>
              </w:rPr>
              <w:fldChar w:fldCharType="end"/>
            </w:r>
          </w:p>
          <w:p>
            <w:pPr>
              <w:pStyle w:val="10"/>
              <w:numPr>
                <w:ilvl w:val="0"/>
                <w:numId w:val="3"/>
              </w:numPr>
              <w:tabs>
                <w:tab w:val="left" w:pos="284"/>
              </w:tabs>
              <w:spacing w:after="200" w:line="276" w:lineRule="auto"/>
              <w:ind w:left="426" w:firstLine="0"/>
              <w:jc w:val="both"/>
              <w:rPr>
                <w:rFonts w:eastAsiaTheme="minorEastAsia"/>
                <w:color w:val="000000" w:themeColor="text1"/>
                <w:sz w:val="24"/>
                <w:szCs w:val="24"/>
                <w14:textFill>
                  <w14:solidFill>
                    <w14:schemeClr w14:val="tx1"/>
                  </w14:solidFill>
                </w14:textFill>
              </w:rPr>
            </w:pPr>
            <w:r>
              <w:fldChar w:fldCharType="begin"/>
            </w:r>
            <w:r>
              <w:instrText xml:space="preserve"> HYPERLINK "http://www.schubert-verlag.de/aufgaben/" \h </w:instrText>
            </w:r>
            <w:r>
              <w:fldChar w:fldCharType="separate"/>
            </w:r>
            <w:r>
              <w:rPr>
                <w:rStyle w:val="3"/>
                <w:rFonts w:ascii="Times New Roman" w:hAnsi="Times New Roman" w:eastAsia="Times New Roman" w:cs="Times New Roman"/>
                <w:sz w:val="24"/>
                <w:szCs w:val="24"/>
              </w:rPr>
              <w:t>http://www.schubert-verlag.de/aufgaben/</w:t>
            </w:r>
            <w:r>
              <w:rPr>
                <w:rStyle w:val="3"/>
                <w:rFonts w:ascii="Times New Roman" w:hAnsi="Times New Roman" w:eastAsia="Times New Roman" w:cs="Times New Roman"/>
                <w:sz w:val="24"/>
                <w:szCs w:val="24"/>
              </w:rPr>
              <w:fldChar w:fldCharType="end"/>
            </w:r>
          </w:p>
          <w:p>
            <w:pPr>
              <w:pStyle w:val="10"/>
              <w:numPr>
                <w:ilvl w:val="0"/>
                <w:numId w:val="3"/>
              </w:numPr>
              <w:tabs>
                <w:tab w:val="left" w:pos="284"/>
              </w:tabs>
              <w:spacing w:after="200" w:line="276" w:lineRule="auto"/>
              <w:ind w:left="426" w:firstLine="0"/>
              <w:jc w:val="both"/>
              <w:rPr>
                <w:rFonts w:eastAsiaTheme="minorEastAsia"/>
                <w:color w:val="000000" w:themeColor="text1"/>
                <w:sz w:val="24"/>
                <w:szCs w:val="24"/>
                <w14:textFill>
                  <w14:solidFill>
                    <w14:schemeClr w14:val="tx1"/>
                  </w14:solidFill>
                </w14:textFill>
              </w:rPr>
            </w:pPr>
            <w:r>
              <w:fldChar w:fldCharType="begin"/>
            </w:r>
            <w:r>
              <w:instrText xml:space="preserve"> HYPERLINK "https://www.duden.de/" \h </w:instrText>
            </w:r>
            <w:r>
              <w:fldChar w:fldCharType="separate"/>
            </w:r>
            <w:r>
              <w:rPr>
                <w:rStyle w:val="3"/>
                <w:rFonts w:ascii="Times New Roman" w:hAnsi="Times New Roman" w:eastAsia="Times New Roman" w:cs="Times New Roman"/>
                <w:sz w:val="24"/>
                <w:szCs w:val="24"/>
              </w:rPr>
              <w:t>https://www.duden.de/</w:t>
            </w:r>
            <w:r>
              <w:rPr>
                <w:rStyle w:val="3"/>
                <w:rFonts w:ascii="Times New Roman" w:hAnsi="Times New Roman" w:eastAsia="Times New Roman" w:cs="Times New Roman"/>
                <w:sz w:val="24"/>
                <w:szCs w:val="24"/>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Тривалість курсу</w:t>
            </w:r>
          </w:p>
        </w:tc>
        <w:tc>
          <w:tcPr>
            <w:tcW w:w="6240" w:type="dxa"/>
          </w:tcPr>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Два семестри (1-2)</w:t>
            </w:r>
            <w:r>
              <w:rPr>
                <w:rFonts w:ascii="Times New Roman" w:hAnsi="Times New Roman" w:eastAsia="Times New Roman" w:cs="Times New Roman"/>
                <w:color w:val="000000" w:themeColor="text1"/>
                <w:sz w:val="24"/>
                <w:szCs w:val="24"/>
                <w:lang w:val="ru-RU"/>
                <w14:textFill>
                  <w14:solidFill>
                    <w14:schemeClr w14:val="tx1"/>
                  </w14:solidFill>
                </w14:textFill>
              </w:rPr>
              <w:t>, 600</w:t>
            </w:r>
            <w:r>
              <w:rPr>
                <w:rFonts w:ascii="Times New Roman" w:hAnsi="Times New Roman" w:eastAsia="Times New Roman" w:cs="Times New Roman"/>
                <w:color w:val="000000" w:themeColor="text1"/>
                <w:sz w:val="24"/>
                <w:szCs w:val="24"/>
                <w14:textFill>
                  <w14:solidFill>
                    <w14:schemeClr w14:val="tx1"/>
                  </w14:solidFill>
                </w14:textFill>
              </w:rPr>
              <w:t xml:space="preserve"> год, з яких у першому – 315 год, у другому – 285 год.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Обсяг курсу</w:t>
            </w:r>
          </w:p>
        </w:tc>
        <w:tc>
          <w:tcPr>
            <w:tcW w:w="6240" w:type="dxa"/>
          </w:tcPr>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Загальна кількість годин – </w:t>
            </w:r>
            <w:r>
              <w:rPr>
                <w:rFonts w:ascii="Times New Roman" w:hAnsi="Times New Roman" w:eastAsia="Times New Roman" w:cs="Times New Roman"/>
                <w:color w:val="000000" w:themeColor="text1"/>
                <w:sz w:val="24"/>
                <w:szCs w:val="24"/>
                <w:lang w:val="ru-RU"/>
                <w14:textFill>
                  <w14:solidFill>
                    <w14:schemeClr w14:val="tx1"/>
                  </w14:solidFill>
                </w14:textFill>
              </w:rPr>
              <w:t>600.</w:t>
            </w:r>
          </w:p>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У 1-ому семестрі – 176 год аудиторної роботи і 139 год самостійної роботи, у 2-ому семестрі – 128 год аудиторної роботи і 157 год самостійної.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Очікувані результати навчання</w:t>
            </w:r>
          </w:p>
        </w:tc>
        <w:tc>
          <w:tcPr>
            <w:tcW w:w="6240" w:type="dxa"/>
          </w:tcPr>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У результаті вивчення навчальної дисципліни студент має</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u w:val="single"/>
                <w14:textFill>
                  <w14:solidFill>
                    <w14:schemeClr w14:val="tx1"/>
                  </w14:solidFill>
                </w14:textFill>
              </w:rPr>
              <w:t xml:space="preserve">знати: </w:t>
            </w:r>
          </w:p>
          <w:p>
            <w:pPr>
              <w:pStyle w:val="10"/>
              <w:numPr>
                <w:ilvl w:val="0"/>
                <w:numId w:val="4"/>
              </w:numPr>
              <w:tabs>
                <w:tab w:val="left" w:pos="572"/>
              </w:tabs>
              <w:spacing w:after="200" w:line="276" w:lineRule="auto"/>
              <w:ind w:left="5" w:firstLine="283"/>
              <w:jc w:val="both"/>
              <w:rPr>
                <w:rFonts w:eastAsiaTheme="minorEastAsia"/>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основні поняття граматики та фонетики німецької мови; </w:t>
            </w:r>
          </w:p>
          <w:p>
            <w:pPr>
              <w:pStyle w:val="10"/>
              <w:numPr>
                <w:ilvl w:val="0"/>
                <w:numId w:val="4"/>
              </w:numPr>
              <w:tabs>
                <w:tab w:val="left" w:pos="572"/>
              </w:tabs>
              <w:spacing w:after="200" w:line="276" w:lineRule="auto"/>
              <w:ind w:left="5" w:firstLine="283"/>
              <w:jc w:val="both"/>
              <w:rPr>
                <w:rFonts w:eastAsiaTheme="minorEastAsia"/>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нормативну граматику німецької мови з елементами їх теоретичного осмислення, викладання та практичного застосування;</w:t>
            </w:r>
          </w:p>
          <w:p>
            <w:pPr>
              <w:pStyle w:val="10"/>
              <w:numPr>
                <w:ilvl w:val="0"/>
                <w:numId w:val="4"/>
              </w:numPr>
              <w:tabs>
                <w:tab w:val="left" w:pos="572"/>
              </w:tabs>
              <w:spacing w:after="200" w:line="276" w:lineRule="auto"/>
              <w:ind w:left="5" w:firstLine="283"/>
              <w:jc w:val="both"/>
              <w:rPr>
                <w:rFonts w:eastAsiaTheme="minorEastAsia"/>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правильну артикуляцію та інтонацію; класичні та сучасні теорії граматики та фонетики німецької мови;</w:t>
            </w:r>
          </w:p>
          <w:p>
            <w:pPr>
              <w:pStyle w:val="10"/>
              <w:numPr>
                <w:ilvl w:val="0"/>
                <w:numId w:val="4"/>
              </w:numPr>
              <w:tabs>
                <w:tab w:val="left" w:pos="572"/>
              </w:tabs>
              <w:spacing w:after="200" w:line="276" w:lineRule="auto"/>
              <w:ind w:left="5" w:firstLine="283"/>
              <w:jc w:val="both"/>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відповідний лексичний запас німецької мови для вирішення комунікативної ситуації;</w:t>
            </w:r>
          </w:p>
          <w:p>
            <w:pPr>
              <w:pStyle w:val="10"/>
              <w:numPr>
                <w:ilvl w:val="0"/>
                <w:numId w:val="4"/>
              </w:numPr>
              <w:tabs>
                <w:tab w:val="left" w:pos="572"/>
              </w:tabs>
              <w:spacing w:after="200" w:line="276" w:lineRule="auto"/>
              <w:ind w:left="5" w:firstLine="283"/>
              <w:jc w:val="both"/>
              <w:rPr>
                <w:rFonts w:eastAsiaTheme="minorEastAsia"/>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лінгво-культурну ситуацію німецькомовних країн.</w:t>
            </w:r>
          </w:p>
          <w:p>
            <w:pPr>
              <w:tabs>
                <w:tab w:val="left" w:pos="572"/>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u w:val="single"/>
                <w14:textFill>
                  <w14:solidFill>
                    <w14:schemeClr w14:val="tx1"/>
                  </w14:solidFill>
                </w14:textFill>
              </w:rPr>
              <w:t>вміти:</w:t>
            </w:r>
          </w:p>
          <w:p>
            <w:pPr>
              <w:pStyle w:val="8"/>
              <w:numPr>
                <w:ilvl w:val="0"/>
                <w:numId w:val="5"/>
              </w:numPr>
              <w:tabs>
                <w:tab w:val="left" w:pos="572"/>
              </w:tabs>
              <w:jc w:val="both"/>
              <w:rPr>
                <w:rFonts w:asciiTheme="minorHAnsi" w:hAnsiTheme="minorHAnsi" w:eastAsiaTheme="minorEastAsia" w:cstheme="minorBidi"/>
                <w:color w:val="000000" w:themeColor="text1"/>
                <w:sz w:val="24"/>
                <w:szCs w:val="24"/>
                <w:lang w:val="uk-UA"/>
                <w14:textFill>
                  <w14:solidFill>
                    <w14:schemeClr w14:val="tx1"/>
                  </w14:solidFill>
                </w14:textFill>
              </w:rPr>
            </w:pPr>
            <w:r>
              <w:rPr>
                <w:rFonts w:ascii="Times New Roman" w:hAnsi="Times New Roman"/>
                <w:color w:val="000000" w:themeColor="text1"/>
                <w:sz w:val="24"/>
                <w:szCs w:val="24"/>
                <w:lang w:val="uk-UA"/>
                <w14:textFill>
                  <w14:solidFill>
                    <w14:schemeClr w14:val="tx1"/>
                  </w14:solidFill>
                </w14:textFill>
              </w:rPr>
              <w:t>застосовувати мовні знання у практичних ситуаціях;</w:t>
            </w:r>
          </w:p>
          <w:p>
            <w:pPr>
              <w:pStyle w:val="8"/>
              <w:numPr>
                <w:ilvl w:val="0"/>
                <w:numId w:val="5"/>
              </w:numPr>
              <w:tabs>
                <w:tab w:val="left" w:pos="572"/>
              </w:tabs>
              <w:jc w:val="both"/>
              <w:rPr>
                <w:rFonts w:asciiTheme="minorHAnsi" w:hAnsiTheme="minorHAnsi" w:eastAsiaTheme="minorEastAsia" w:cstheme="minorBidi"/>
                <w:color w:val="000000" w:themeColor="text1"/>
                <w:sz w:val="24"/>
                <w:szCs w:val="24"/>
                <w:lang w:val="uk-UA"/>
                <w14:textFill>
                  <w14:solidFill>
                    <w14:schemeClr w14:val="tx1"/>
                  </w14:solidFill>
                </w14:textFill>
              </w:rPr>
            </w:pPr>
            <w:r>
              <w:rPr>
                <w:rFonts w:ascii="Times New Roman" w:hAnsi="Times New Roman"/>
                <w:color w:val="000000" w:themeColor="text1"/>
                <w:sz w:val="24"/>
                <w:szCs w:val="24"/>
                <w:lang w:val="uk-UA"/>
                <w14:textFill>
                  <w14:solidFill>
                    <w14:schemeClr w14:val="tx1"/>
                  </w14:solidFill>
                </w14:textFill>
              </w:rPr>
              <w:t>оформлювати власне висловлювання;</w:t>
            </w:r>
          </w:p>
          <w:p>
            <w:pPr>
              <w:pStyle w:val="8"/>
              <w:numPr>
                <w:ilvl w:val="0"/>
                <w:numId w:val="5"/>
              </w:numPr>
              <w:tabs>
                <w:tab w:val="left" w:pos="572"/>
              </w:tabs>
              <w:jc w:val="both"/>
              <w:rPr>
                <w:rFonts w:asciiTheme="minorHAnsi" w:hAnsiTheme="minorHAnsi" w:eastAsiaTheme="minorEastAsia" w:cstheme="minorBidi"/>
                <w:color w:val="000000" w:themeColor="text1"/>
                <w:sz w:val="24"/>
                <w:szCs w:val="24"/>
                <w:lang w:val="uk-UA"/>
                <w14:textFill>
                  <w14:solidFill>
                    <w14:schemeClr w14:val="tx1"/>
                  </w14:solidFill>
                </w14:textFill>
              </w:rPr>
            </w:pPr>
            <w:r>
              <w:rPr>
                <w:rFonts w:ascii="Times New Roman" w:hAnsi="Times New Roman"/>
                <w:color w:val="000000" w:themeColor="text1"/>
                <w:sz w:val="24"/>
                <w:szCs w:val="24"/>
                <w:lang w:val="uk-UA"/>
                <w14:textFill>
                  <w14:solidFill>
                    <w14:schemeClr w14:val="tx1"/>
                  </w14:solidFill>
                </w14:textFill>
              </w:rPr>
              <w:t>використовувати знання риторики у мовленнєвій діяльності;</w:t>
            </w:r>
          </w:p>
          <w:p>
            <w:pPr>
              <w:pStyle w:val="8"/>
              <w:numPr>
                <w:ilvl w:val="0"/>
                <w:numId w:val="5"/>
              </w:numPr>
              <w:tabs>
                <w:tab w:val="left" w:pos="572"/>
              </w:tabs>
              <w:jc w:val="both"/>
              <w:rPr>
                <w:rFonts w:asciiTheme="minorHAnsi" w:hAnsiTheme="minorHAnsi" w:eastAsiaTheme="minorEastAsia" w:cstheme="minorBidi"/>
                <w:color w:val="000000" w:themeColor="text1"/>
                <w:sz w:val="24"/>
                <w:szCs w:val="24"/>
                <w:lang w:val="uk-UA"/>
                <w14:textFill>
                  <w14:solidFill>
                    <w14:schemeClr w14:val="tx1"/>
                  </w14:solidFill>
                </w14:textFill>
              </w:rPr>
            </w:pPr>
            <w:r>
              <w:rPr>
                <w:rFonts w:ascii="Times New Roman" w:hAnsi="Times New Roman"/>
                <w:color w:val="000000" w:themeColor="text1"/>
                <w:sz w:val="24"/>
                <w:szCs w:val="24"/>
                <w:lang w:val="uk-UA"/>
                <w14:textFill>
                  <w14:solidFill>
                    <w14:schemeClr w14:val="tx1"/>
                  </w14:solidFill>
                </w14:textFill>
              </w:rPr>
              <w:t>здійснювати комунікацію іноземною мовою в різноманітних ситуаціях соціального, навчально-академічного та професійного спілкування;</w:t>
            </w:r>
          </w:p>
          <w:p>
            <w:pPr>
              <w:pStyle w:val="8"/>
              <w:numPr>
                <w:ilvl w:val="0"/>
                <w:numId w:val="5"/>
              </w:numPr>
              <w:tabs>
                <w:tab w:val="left" w:pos="572"/>
              </w:tabs>
              <w:jc w:val="both"/>
              <w:rPr>
                <w:rFonts w:asciiTheme="minorHAnsi" w:hAnsiTheme="minorHAnsi" w:eastAsiaTheme="minorEastAsia" w:cstheme="minorBidi"/>
                <w:color w:val="000000" w:themeColor="text1"/>
                <w:sz w:val="24"/>
                <w:szCs w:val="24"/>
                <w:lang w:val="uk-UA"/>
                <w14:textFill>
                  <w14:solidFill>
                    <w14:schemeClr w14:val="tx1"/>
                  </w14:solidFill>
                </w14:textFill>
              </w:rPr>
            </w:pPr>
            <w:r>
              <w:rPr>
                <w:rFonts w:ascii="Times New Roman" w:hAnsi="Times New Roman"/>
                <w:color w:val="000000" w:themeColor="text1"/>
                <w:sz w:val="24"/>
                <w:szCs w:val="24"/>
                <w:lang w:val="uk-UA"/>
                <w14:textFill>
                  <w14:solidFill>
                    <w14:schemeClr w14:val="tx1"/>
                  </w14:solidFill>
                </w14:textFill>
              </w:rPr>
              <w:t>аналізувати філологічні явища, використовуючи відповідні загально-наукові методи та прийоми;</w:t>
            </w:r>
          </w:p>
          <w:p>
            <w:pPr>
              <w:pStyle w:val="8"/>
              <w:numPr>
                <w:ilvl w:val="0"/>
                <w:numId w:val="5"/>
              </w:numPr>
              <w:tabs>
                <w:tab w:val="left" w:pos="572"/>
              </w:tabs>
              <w:jc w:val="both"/>
              <w:rPr>
                <w:rFonts w:asciiTheme="minorHAnsi" w:hAnsiTheme="minorHAnsi" w:eastAsiaTheme="minorEastAsia" w:cstheme="minorBidi"/>
                <w:color w:val="000000" w:themeColor="text1"/>
                <w:sz w:val="24"/>
                <w:szCs w:val="24"/>
                <w:lang w:val="uk-UA"/>
                <w14:textFill>
                  <w14:solidFill>
                    <w14:schemeClr w14:val="tx1"/>
                  </w14:solidFill>
                </w14:textFill>
              </w:rPr>
            </w:pPr>
            <w:r>
              <w:rPr>
                <w:rFonts w:ascii="Times New Roman" w:hAnsi="Times New Roman"/>
                <w:color w:val="000000" w:themeColor="text1"/>
                <w:sz w:val="24"/>
                <w:szCs w:val="24"/>
                <w:lang w:val="uk-UA"/>
                <w14:textFill>
                  <w14:solidFill>
                    <w14:schemeClr w14:val="tx1"/>
                  </w14:solidFill>
                </w14:textFill>
              </w:rPr>
              <w:t>здійснювати комунікацію українською та німецькою мовами;</w:t>
            </w:r>
          </w:p>
          <w:p>
            <w:pPr>
              <w:pStyle w:val="8"/>
              <w:numPr>
                <w:ilvl w:val="0"/>
                <w:numId w:val="5"/>
              </w:numPr>
              <w:tabs>
                <w:tab w:val="left" w:pos="572"/>
              </w:tabs>
              <w:jc w:val="both"/>
              <w:rPr>
                <w:rFonts w:asciiTheme="minorHAnsi" w:hAnsiTheme="minorHAnsi" w:eastAsiaTheme="minorEastAsia" w:cstheme="minorBidi"/>
                <w:color w:val="000000" w:themeColor="text1"/>
                <w:sz w:val="24"/>
                <w:szCs w:val="24"/>
                <w:lang w:val="ru-RU"/>
                <w14:textFill>
                  <w14:solidFill>
                    <w14:schemeClr w14:val="tx1"/>
                  </w14:solidFill>
                </w14:textFill>
              </w:rPr>
            </w:pPr>
            <w:r>
              <w:rPr>
                <w:rFonts w:ascii="Times New Roman" w:hAnsi="Times New Roman"/>
                <w:color w:val="000000" w:themeColor="text1"/>
                <w:sz w:val="24"/>
                <w:szCs w:val="24"/>
                <w:lang w:val="uk-UA"/>
                <w14:textFill>
                  <w14:solidFill>
                    <w14:schemeClr w14:val="tx1"/>
                  </w14:solidFill>
                </w14:textFill>
              </w:rPr>
              <w:t>використовувати ефективні методи та прийомів навчання для досягнення поставленої мети;</w:t>
            </w:r>
          </w:p>
          <w:p>
            <w:pPr>
              <w:pStyle w:val="8"/>
              <w:numPr>
                <w:ilvl w:val="0"/>
                <w:numId w:val="5"/>
              </w:numPr>
              <w:tabs>
                <w:tab w:val="left" w:pos="572"/>
              </w:tabs>
              <w:jc w:val="both"/>
              <w:rPr>
                <w:color w:val="000000" w:themeColor="text1"/>
                <w:sz w:val="24"/>
                <w:szCs w:val="24"/>
                <w:lang w:val="ru-RU"/>
                <w14:textFill>
                  <w14:solidFill>
                    <w14:schemeClr w14:val="tx1"/>
                  </w14:solidFill>
                </w14:textFill>
              </w:rPr>
            </w:pPr>
            <w:r>
              <w:rPr>
                <w:rFonts w:ascii="Times New Roman" w:hAnsi="Times New Roman"/>
                <w:color w:val="000000" w:themeColor="text1"/>
                <w:sz w:val="24"/>
                <w:szCs w:val="24"/>
                <w:lang w:val="uk-UA"/>
                <w14:textFill>
                  <w14:solidFill>
                    <w14:schemeClr w14:val="tx1"/>
                  </w14:solidFill>
                </w14:textFill>
              </w:rPr>
              <w:t>бачити спільні риси та відмінності між німецькою та українською мовами;</w:t>
            </w:r>
          </w:p>
          <w:p>
            <w:pPr>
              <w:pStyle w:val="8"/>
              <w:numPr>
                <w:ilvl w:val="0"/>
                <w:numId w:val="5"/>
              </w:numPr>
              <w:tabs>
                <w:tab w:val="left" w:pos="572"/>
              </w:tabs>
              <w:jc w:val="both"/>
              <w:rPr>
                <w:rFonts w:asciiTheme="minorHAnsi" w:hAnsiTheme="minorHAnsi" w:eastAsiaTheme="minorEastAsia" w:cstheme="minorBidi"/>
                <w:color w:val="000000" w:themeColor="text1"/>
                <w:sz w:val="24"/>
                <w:szCs w:val="24"/>
                <w:lang w:val="ru-RU"/>
                <w14:textFill>
                  <w14:solidFill>
                    <w14:schemeClr w14:val="tx1"/>
                  </w14:solidFill>
                </w14:textFill>
              </w:rPr>
            </w:pPr>
            <w:r>
              <w:rPr>
                <w:rFonts w:ascii="Times New Roman" w:hAnsi="Times New Roman"/>
                <w:color w:val="000000" w:themeColor="text1"/>
                <w:sz w:val="24"/>
                <w:szCs w:val="24"/>
                <w:lang w:val="uk-UA"/>
                <w14:textFill>
                  <w14:solidFill>
                    <w14:schemeClr w14:val="tx1"/>
                  </w14:solidFill>
                </w14:textFill>
              </w:rPr>
              <w:t>опрацьовувати різні види інформації та обробляти її відповідно до цілей і завдань педагогічного процесу;</w:t>
            </w:r>
          </w:p>
          <w:p>
            <w:pPr>
              <w:pStyle w:val="8"/>
              <w:numPr>
                <w:ilvl w:val="0"/>
                <w:numId w:val="5"/>
              </w:numPr>
              <w:tabs>
                <w:tab w:val="left" w:pos="572"/>
              </w:tabs>
              <w:jc w:val="both"/>
              <w:rPr>
                <w:rFonts w:asciiTheme="minorHAnsi" w:hAnsiTheme="minorHAnsi" w:eastAsiaTheme="minorEastAsia" w:cstheme="minorBidi"/>
                <w:color w:val="000000" w:themeColor="text1"/>
                <w:sz w:val="24"/>
                <w:szCs w:val="24"/>
                <w:lang w:val="ru-RU"/>
                <w14:textFill>
                  <w14:solidFill>
                    <w14:schemeClr w14:val="tx1"/>
                  </w14:solidFill>
                </w14:textFill>
              </w:rPr>
            </w:pPr>
            <w:r>
              <w:rPr>
                <w:rFonts w:ascii="Times New Roman" w:hAnsi="Times New Roman"/>
                <w:color w:val="000000" w:themeColor="text1"/>
                <w:sz w:val="24"/>
                <w:szCs w:val="24"/>
                <w:lang w:val="uk-UA"/>
                <w14:textFill>
                  <w14:solidFill>
                    <w14:schemeClr w14:val="tx1"/>
                  </w14:solidFill>
                </w14:textFill>
              </w:rPr>
              <w:t>дотримуватися принципів професійної етики та політкоректності.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Ключові слова</w:t>
            </w:r>
          </w:p>
        </w:tc>
        <w:tc>
          <w:tcPr>
            <w:tcW w:w="6240" w:type="dxa"/>
          </w:tcPr>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Граматика, лексика, комунікація, проєктна робота.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Формат курсу</w:t>
            </w:r>
          </w:p>
        </w:tc>
        <w:tc>
          <w:tcPr>
            <w:tcW w:w="6240" w:type="dxa"/>
          </w:tcPr>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Очний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p>
        </w:tc>
        <w:tc>
          <w:tcPr>
            <w:tcW w:w="6240" w:type="dxa"/>
          </w:tcPr>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Проведення практичних занять і консультацій, виконання самостійної роботи для кращого розуміння тем.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Теми</w:t>
            </w:r>
          </w:p>
        </w:tc>
        <w:tc>
          <w:tcPr>
            <w:tcW w:w="6240" w:type="dxa"/>
          </w:tcPr>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Згідно зі СХЕМОЮ КУРСУ (додається)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Підсумковий контроль</w:t>
            </w:r>
          </w:p>
        </w:tc>
        <w:tc>
          <w:tcPr>
            <w:tcW w:w="6240" w:type="dxa"/>
          </w:tcPr>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Іспит в кінці 1-ого семестру.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Максимальна кількість балів оцінювання знань становить за поточну успішність  – 50 балів, на іспиті – 50 балів;</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Іспит в кінці 2-ого семестру.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Максимальна кількість балів оцінювання знань становить за поточну успішність  – 50 балів, на іспиті – 50 балів.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Реквізити</w:t>
            </w:r>
          </w:p>
        </w:tc>
        <w:tc>
          <w:tcPr>
            <w:tcW w:w="6240" w:type="dxa"/>
          </w:tcPr>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Для вивчення курсу студенти потребують базових знань з німецької мови.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Навчальні методи та техніки, які будуть використовуватися під час викладання курсу</w:t>
            </w:r>
          </w:p>
        </w:tc>
        <w:tc>
          <w:tcPr>
            <w:tcW w:w="6240" w:type="dxa"/>
          </w:tcPr>
          <w:p>
            <w:pPr>
              <w:pStyle w:val="10"/>
              <w:numPr>
                <w:ilvl w:val="0"/>
                <w:numId w:val="6"/>
              </w:numPr>
              <w:spacing w:after="200" w:line="276" w:lineRule="auto"/>
              <w:jc w:val="both"/>
              <w:rPr>
                <w:rFonts w:eastAsiaTheme="minorEastAsia"/>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інформаційно-рецептивні (розповідь, пояснення, бесіда, демонстрація, спостереження) методи; </w:t>
            </w:r>
          </w:p>
          <w:p>
            <w:pPr>
              <w:pStyle w:val="10"/>
              <w:numPr>
                <w:ilvl w:val="0"/>
                <w:numId w:val="6"/>
              </w:numPr>
              <w:spacing w:after="200" w:line="276" w:lineRule="auto"/>
              <w:jc w:val="both"/>
              <w:rPr>
                <w:rFonts w:eastAsiaTheme="minorEastAsia"/>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проблемний виклад навчального матеріалу; </w:t>
            </w:r>
          </w:p>
          <w:p>
            <w:pPr>
              <w:pStyle w:val="10"/>
              <w:numPr>
                <w:ilvl w:val="0"/>
                <w:numId w:val="6"/>
              </w:numPr>
              <w:spacing w:after="200" w:line="276" w:lineRule="auto"/>
              <w:jc w:val="both"/>
              <w:rPr>
                <w:rFonts w:eastAsiaTheme="minorEastAsia"/>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частково-пошуковий та дослідницький методи; </w:t>
            </w:r>
          </w:p>
          <w:p>
            <w:pPr>
              <w:pStyle w:val="10"/>
              <w:numPr>
                <w:ilvl w:val="0"/>
                <w:numId w:val="6"/>
              </w:numPr>
              <w:spacing w:after="200" w:line="276" w:lineRule="auto"/>
              <w:jc w:val="both"/>
              <w:rPr>
                <w:rFonts w:eastAsiaTheme="minorEastAsia"/>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наочні методи (робота з таблицями, схемами тощо); </w:t>
            </w:r>
          </w:p>
          <w:p>
            <w:pPr>
              <w:pStyle w:val="10"/>
              <w:numPr>
                <w:ilvl w:val="0"/>
                <w:numId w:val="6"/>
              </w:numPr>
              <w:spacing w:after="200" w:line="276" w:lineRule="auto"/>
              <w:jc w:val="both"/>
              <w:rPr>
                <w:rFonts w:eastAsiaTheme="minorEastAsia"/>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практичні заняття, індивідуальні завдання (підготовка реферату тощо);</w:t>
            </w:r>
          </w:p>
          <w:p>
            <w:pPr>
              <w:pStyle w:val="10"/>
              <w:numPr>
                <w:ilvl w:val="0"/>
                <w:numId w:val="6"/>
              </w:numPr>
              <w:spacing w:after="200" w:line="276" w:lineRule="auto"/>
              <w:jc w:val="both"/>
              <w:rPr>
                <w:rFonts w:eastAsiaTheme="minorEastAsia"/>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інтерактивні методи (презентація, евристичні бесіди, рольові ігри, дискусії, «мозковий штурм», конкурси з практичними завданнями та їх подальше обговорення, проект, використання мультимедійних комп’ютерних програм та залучення носіїв мови).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Необхідне обладнання</w:t>
            </w:r>
          </w:p>
        </w:tc>
        <w:tc>
          <w:tcPr>
            <w:tcW w:w="6240" w:type="dxa"/>
          </w:tcPr>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Студенти використовують технічні засоби та програмне забезпечення під час підготовки до практичних занять із метою пошуку потрібної інформації до конкретної теми, а також під час виконання індивідуальних науково-дослідних завдань.</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Для проведення аудиторних занять потрібні ноутбук, проектор і аудіопрогравач.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Критерії оцінювання (окремо для кожного виду навчальної діяльності)</w:t>
            </w:r>
          </w:p>
        </w:tc>
        <w:tc>
          <w:tcPr>
            <w:tcW w:w="6240" w:type="dxa"/>
          </w:tcPr>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іспит (1-ий і 2-ий семестр). Оцінювання проводиться за 100-бальною шкалою.</w:t>
            </w:r>
          </w:p>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У 1</w:t>
            </w:r>
            <w:r>
              <w:rPr>
                <w:rFonts w:ascii="Times New Roman" w:hAnsi="Times New Roman" w:eastAsia="Times New Roman" w:cs="Times New Roman"/>
                <w:b/>
                <w:bCs/>
                <w:i/>
                <w:iCs/>
                <w:color w:val="000000" w:themeColor="text1"/>
                <w:sz w:val="24"/>
                <w:szCs w:val="24"/>
                <w14:textFill>
                  <w14:solidFill>
                    <w14:schemeClr w14:val="tx1"/>
                  </w14:solidFill>
                </w14:textFill>
              </w:rPr>
              <w:t>-ому семестрі</w:t>
            </w:r>
            <w:r>
              <w:rPr>
                <w:rFonts w:ascii="Times New Roman" w:hAnsi="Times New Roman" w:eastAsia="Times New Roman" w:cs="Times New Roman"/>
                <w:color w:val="000000" w:themeColor="text1"/>
                <w:sz w:val="24"/>
                <w:szCs w:val="24"/>
                <w14:textFill>
                  <w14:solidFill>
                    <w14:schemeClr w14:val="tx1"/>
                  </w14:solidFill>
                </w14:textFill>
              </w:rPr>
              <w:t xml:space="preserve"> студенти можуть набрати максимум 50 балів протягом семестру та максимум 50 балів за іспит. Підсумковий оцінка у 2-ому семестрі виставляється на основі додавання балів за семестр (макс. 50) і балів за складання іспиту (макс. 50 балів). Підсумкова максимальна кількість балів – 100 балів.</w:t>
            </w:r>
          </w:p>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Дві модульні контрольні роботи – кожна по 10 балів максимум (загалом – макс. 20 балів, див. шкалу розподілу, подану нижче);</w:t>
            </w:r>
          </w:p>
          <w:p>
            <w:pPr>
              <w:spacing w:after="12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i/>
                <w:iCs/>
                <w:color w:val="000000" w:themeColor="text1"/>
                <w:sz w:val="24"/>
                <w:szCs w:val="24"/>
                <w14:textFill>
                  <w14:solidFill>
                    <w14:schemeClr w14:val="tx1"/>
                  </w14:solidFill>
                </w14:textFill>
              </w:rPr>
              <w:t>Шкала оцінювання модульної контрольної роботи</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85"/>
              <w:gridCol w:w="39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8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Кількість балів</w:t>
                  </w:r>
                </w:p>
              </w:tc>
              <w:tc>
                <w:tcPr>
                  <w:tcW w:w="394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правильних відповідей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8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394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100 – 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85" w:type="dxa"/>
                </w:tcPr>
                <w:p>
                  <w:pPr>
                    <w:tabs>
                      <w:tab w:val="left" w:pos="2530"/>
                    </w:tabs>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9</w:t>
                  </w:r>
                </w:p>
              </w:tc>
              <w:tc>
                <w:tcPr>
                  <w:tcW w:w="394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95 – 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8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8</w:t>
                  </w:r>
                </w:p>
              </w:tc>
              <w:tc>
                <w:tcPr>
                  <w:tcW w:w="394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90 – 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8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7</w:t>
                  </w:r>
                </w:p>
              </w:tc>
              <w:tc>
                <w:tcPr>
                  <w:tcW w:w="394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85 – 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8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6</w:t>
                  </w:r>
                </w:p>
              </w:tc>
              <w:tc>
                <w:tcPr>
                  <w:tcW w:w="394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80 – 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8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w:t>
                  </w:r>
                </w:p>
              </w:tc>
              <w:tc>
                <w:tcPr>
                  <w:tcW w:w="394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75 – 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8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w:t>
                  </w:r>
                </w:p>
              </w:tc>
              <w:tc>
                <w:tcPr>
                  <w:tcW w:w="394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70 – 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8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w:t>
                  </w:r>
                </w:p>
              </w:tc>
              <w:tc>
                <w:tcPr>
                  <w:tcW w:w="394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65 – 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8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w:t>
                  </w:r>
                </w:p>
              </w:tc>
              <w:tc>
                <w:tcPr>
                  <w:tcW w:w="394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60 – 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8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1</w:t>
                  </w:r>
                </w:p>
              </w:tc>
              <w:tc>
                <w:tcPr>
                  <w:tcW w:w="394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55 – 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85" w:type="dxa"/>
                </w:tcPr>
                <w:p>
                  <w:pPr>
                    <w:spacing w:after="0" w:line="240" w:lineRule="auto"/>
                    <w:rPr>
                      <w:rFonts w:ascii="Times New Roman" w:hAnsi="Times New Roman" w:eastAsia="Times New Roman" w:cs="Times New Roman"/>
                      <w:b/>
                      <w:bCs/>
                      <w:i/>
                      <w:iCs/>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0</w:t>
                  </w:r>
                </w:p>
              </w:tc>
              <w:tc>
                <w:tcPr>
                  <w:tcW w:w="3945" w:type="dxa"/>
                </w:tcPr>
                <w:p>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50 і менше</w:t>
                  </w:r>
                </w:p>
              </w:tc>
            </w:tr>
          </w:tbl>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Аудиторна робота – по 5 балів максимум  за кожен із двох модулів (загалом – макс. 10 балів);</w:t>
            </w:r>
          </w:p>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Відвідування – по 5 балів максимум за кожен із двох модулів (загалом – макс. 10 балів);</w:t>
            </w:r>
          </w:p>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Самостійна робота – по 5 балів максимум  за кожен із двох модулів (загалом –  макс. 10 балів);</w:t>
            </w:r>
          </w:p>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У</w:t>
            </w:r>
            <w:r>
              <w:rPr>
                <w:rFonts w:ascii="Times New Roman" w:hAnsi="Times New Roman" w:eastAsia="Times New Roman" w:cs="Times New Roman"/>
                <w:b/>
                <w:bCs/>
                <w:color w:val="000000" w:themeColor="text1"/>
                <w:sz w:val="24"/>
                <w:szCs w:val="24"/>
                <w14:textFill>
                  <w14:solidFill>
                    <w14:schemeClr w14:val="tx1"/>
                  </w14:solidFill>
                </w14:textFill>
              </w:rPr>
              <w:t xml:space="preserve"> 2</w:t>
            </w:r>
            <w:r>
              <w:rPr>
                <w:rFonts w:ascii="Times New Roman" w:hAnsi="Times New Roman" w:eastAsia="Times New Roman" w:cs="Times New Roman"/>
                <w:b/>
                <w:bCs/>
                <w:i/>
                <w:iCs/>
                <w:color w:val="000000" w:themeColor="text1"/>
                <w:sz w:val="24"/>
                <w:szCs w:val="24"/>
                <w14:textFill>
                  <w14:solidFill>
                    <w14:schemeClr w14:val="tx1"/>
                  </w14:solidFill>
                </w14:textFill>
              </w:rPr>
              <w:t xml:space="preserve">-ому семестрі </w:t>
            </w:r>
            <w:r>
              <w:rPr>
                <w:rFonts w:ascii="Times New Roman" w:hAnsi="Times New Roman" w:eastAsia="Times New Roman" w:cs="Times New Roman"/>
                <w:color w:val="000000" w:themeColor="text1"/>
                <w:sz w:val="24"/>
                <w:szCs w:val="24"/>
                <w14:textFill>
                  <w14:solidFill>
                    <w14:schemeClr w14:val="tx1"/>
                  </w14:solidFill>
                </w14:textFill>
              </w:rPr>
              <w:t>студенти можуть набрати максимум 50 балів протягом семестру і отримати максимум 50 балів за іспит. Підсумковий оцінка у 2-ому семестрі виставляється на основі додавання балів за семестр (макс. 50) і балів за складання іспиту (макс. 50 балів). Підсумкова максимальна кількість балів – 100 балів.</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Самостійна робота студента</w:t>
            </w:r>
            <w:r>
              <w:rPr>
                <w:rFonts w:ascii="Times New Roman" w:hAnsi="Times New Roman" w:eastAsia="Times New Roman" w:cs="Times New Roman"/>
                <w:color w:val="000000" w:themeColor="text1"/>
                <w:sz w:val="24"/>
                <w:szCs w:val="24"/>
                <w14:textFill>
                  <w14:solidFill>
                    <w14:schemeClr w14:val="tx1"/>
                  </w14:solidFill>
                </w14:textFill>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w:t>
            </w:r>
            <w:r>
              <w:rPr>
                <w:rFonts w:ascii="Times New Roman" w:hAnsi="Times New Roman" w:eastAsia="Times New Roman" w:cs="Times New Roman"/>
                <w:b/>
                <w:bCs/>
                <w:color w:val="000000" w:themeColor="text1"/>
                <w:sz w:val="24"/>
                <w:szCs w:val="24"/>
                <w14:textFill>
                  <w14:solidFill>
                    <w14:schemeClr w14:val="tx1"/>
                  </w14:solidFill>
                </w14:textFill>
              </w:rPr>
              <w:t>Перша іноземна мова</w:t>
            </w:r>
            <w:r>
              <w:rPr>
                <w:rFonts w:ascii="Times New Roman" w:hAnsi="Times New Roman" w:eastAsia="Times New Roman" w:cs="Times New Roman"/>
                <w:color w:val="000000" w:themeColor="text1"/>
                <w:sz w:val="24"/>
                <w:szCs w:val="24"/>
                <w14:textFill>
                  <w14:solidFill>
                    <w14:schemeClr w14:val="tx1"/>
                  </w14:solidFill>
                </w14:textFill>
              </w:rPr>
              <w:t>». Зміст СРС з дисципліни «</w:t>
            </w:r>
            <w:r>
              <w:rPr>
                <w:rFonts w:ascii="Times New Roman" w:hAnsi="Times New Roman" w:eastAsia="Times New Roman" w:cs="Times New Roman"/>
                <w:b/>
                <w:bCs/>
                <w:color w:val="000000" w:themeColor="text1"/>
                <w:sz w:val="24"/>
                <w:szCs w:val="24"/>
                <w14:textFill>
                  <w14:solidFill>
                    <w14:schemeClr w14:val="tx1"/>
                  </w14:solidFill>
                </w14:textFill>
              </w:rPr>
              <w:t>Перша іноземна мова</w:t>
            </w:r>
            <w:r>
              <w:rPr>
                <w:rFonts w:ascii="Times New Roman" w:hAnsi="Times New Roman" w:eastAsia="Times New Roman" w:cs="Times New Roman"/>
                <w:color w:val="000000" w:themeColor="text1"/>
                <w:sz w:val="24"/>
                <w:szCs w:val="24"/>
                <w14:textFill>
                  <w14:solidFill>
                    <w14:schemeClr w14:val="tx1"/>
                  </w14:solidFill>
                </w14:textFill>
              </w:rPr>
              <w:t>» складається з таких видів роботи: домашнє читання (Franz Specht „Der rote Hahn“ Leseheft Niveaustufe B1), виконання домашніх завдань по лексичній темі «Шкільна освіта», «Університет», «Українські страви», «Хобі та дозвілля», «Мода»; виконання практичних завдань, вправ на засвоєння граматичних тем «Дієслово», «Іменник», «Займенник», «Числівник», «Прийменник», «Прислівник»; підготовка теоретичного матеріалу на теми: «Вживання артикля у німецькій мові», «особові займенники», «присвійні займенники», «заперечні займенники», «питальні займенники», «відносні займенники», «безособові займенники»; підготовка письмових робіт на тему «Побут та житло»; написання реферату про проблеми сучасної молоді, його захист; написання твору про тему «Одяг творить людей».</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Академічна доброчесність</w:t>
            </w:r>
            <w:r>
              <w:rPr>
                <w:rFonts w:ascii="Times New Roman" w:hAnsi="Times New Roman" w:eastAsia="Times New Roman" w:cs="Times New Roman"/>
                <w:color w:val="000000" w:themeColor="text1"/>
                <w:sz w:val="24"/>
                <w:szCs w:val="24"/>
                <w14:textFill>
                  <w14:solidFill>
                    <w14:schemeClr w14:val="tx1"/>
                  </w14:solidFill>
                </w14:textFill>
              </w:rPr>
              <w:t>: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 зарахування роботи, студент, в узгоджені з викладачем строки, повинен повторно виконати письмову роботу та подати її викладачу для оцінювання.</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Відвідання занять</w:t>
            </w:r>
            <w:r>
              <w:rPr>
                <w:rFonts w:ascii="Times New Roman" w:hAnsi="Times New Roman" w:eastAsia="Times New Roman" w:cs="Times New Roman"/>
                <w:color w:val="000000" w:themeColor="text1"/>
                <w:sz w:val="24"/>
                <w:szCs w:val="24"/>
                <w14:textFill>
                  <w14:solidFill>
                    <w14:schemeClr w14:val="tx1"/>
                  </w14:solidFill>
                </w14:textFill>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Література</w:t>
            </w:r>
            <w:r>
              <w:rPr>
                <w:rFonts w:ascii="Times New Roman" w:hAnsi="Times New Roman" w:eastAsia="Times New Roman" w:cs="Times New Roman"/>
                <w:color w:val="000000" w:themeColor="text1"/>
                <w:sz w:val="24"/>
                <w:szCs w:val="24"/>
                <w14:textFill>
                  <w14:solidFill>
                    <w14:schemeClr w14:val="tx1"/>
                  </w14:solidFill>
                </w14:textFill>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Політика виставлення балів</w:t>
            </w:r>
            <w:r>
              <w:rPr>
                <w:rFonts w:ascii="Times New Roman" w:hAnsi="Times New Roman" w:eastAsia="Times New Roman" w:cs="Times New Roman"/>
                <w:color w:val="000000" w:themeColor="text1"/>
                <w:sz w:val="24"/>
                <w:szCs w:val="24"/>
                <w14:textFill>
                  <w14:solidFill>
                    <w14:schemeClr w14:val="tx1"/>
                  </w14:solidFill>
                </w14:textFill>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Жодні форми порушення академічної доброчесності не толеруються</w:t>
            </w:r>
            <w:r>
              <w:rPr>
                <w:rFonts w:ascii="Times New Roman" w:hAnsi="Times New Roman" w:eastAsia="Times New Roman" w:cs="Times New Roman"/>
                <w:color w:val="000000" w:themeColor="text1"/>
                <w:sz w:val="24"/>
                <w:szCs w:val="24"/>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Питання до заліку чи екзамену.</w:t>
            </w:r>
          </w:p>
        </w:tc>
        <w:tc>
          <w:tcPr>
            <w:tcW w:w="6240" w:type="dxa"/>
          </w:tcPr>
          <w:p>
            <w:pPr>
              <w:tabs>
                <w:tab w:val="left" w:pos="284"/>
                <w:tab w:val="left" w:pos="567"/>
              </w:tabs>
              <w:spacing w:after="200" w:line="276" w:lineRule="auto"/>
              <w:jc w:val="both"/>
              <w:rPr>
                <w:rFonts w:ascii="Times New Roman" w:hAnsi="Times New Roman" w:eastAsia="Times New Roman" w:cs="Times New Roman"/>
                <w:b/>
                <w:bCs/>
                <w:color w:val="000000" w:themeColor="text1"/>
                <w:sz w:val="24"/>
                <w:szCs w:val="24"/>
                <w:u w:val="single"/>
                <w14:textFill>
                  <w14:solidFill>
                    <w14:schemeClr w14:val="tx1"/>
                  </w14:solidFill>
                </w14:textFill>
              </w:rPr>
            </w:pPr>
            <w:r>
              <w:rPr>
                <w:rFonts w:ascii="Times New Roman" w:hAnsi="Times New Roman" w:eastAsia="Times New Roman" w:cs="Times New Roman"/>
                <w:b/>
                <w:bCs/>
                <w:color w:val="000000" w:themeColor="text1"/>
                <w:sz w:val="24"/>
                <w:szCs w:val="24"/>
                <w:u w:val="single"/>
                <w14:textFill>
                  <w14:solidFill>
                    <w14:schemeClr w14:val="tx1"/>
                  </w14:solidFill>
                </w14:textFill>
              </w:rPr>
              <w:t>Лексичні теми:</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Завершення школи, вступ у вищий навчальний заклад </w:t>
            </w:r>
          </w:p>
          <w:p>
            <w:pPr>
              <w:spacing w:after="200" w:line="276"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Система освіти (середньої і вищої) України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Система освіти (середньої і вищої) Німеччини</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Навчання у вищому навчальному закладі</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Початок навчання, проблеми у навчанні</w:t>
            </w:r>
          </w:p>
          <w:p>
            <w:pPr>
              <w:spacing w:after="200" w:line="276" w:lineRule="auto"/>
              <w:ind w:left="-84"/>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Навчання в Німеччині умови зарахування.</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Можливості проживання. Життя в гуртожитку</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Студентське життя в Україні та в Німеччині.</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Житло мрії. Нові типи помешкань.</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Ранок – панок (українські прислів’я та їх німецькі відповідники)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Розпорядок дня</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Тайм-менеджмент (організація часу)</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Українські та німецькі страви</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Віртуальний візит в кафе, ресторан</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Рецепти страв</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Дискусійний форум: доцільність дієт</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Членство в об’єднаннях у Німеччині.</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Як проводити вільний час?</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Значення хобі в житті людини</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Не одяг прикрашає людину, а добрі справи</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Німці та їх одяг</w:t>
            </w:r>
          </w:p>
          <w:p>
            <w:pPr>
              <w:spacing w:after="200" w:line="276"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Молодіжний стиль одягу</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u w:val="single"/>
                <w14:textFill>
                  <w14:solidFill>
                    <w14:schemeClr w14:val="tx1"/>
                  </w14:solidFill>
                </w14:textFill>
              </w:rPr>
              <w:t>Граматичні теми:</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Семантична класифікація дієслів</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Морфологічна класифікація дієслів</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Синтаксична класифікація дієслів.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Часи дієслів - огляд.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Відокремлювані невідокремлювані префікси.</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Дієслово, граматичні категорії дієслова.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Іменник, граматичні категорії іменника.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Вживання артикля.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Прийменники з давальним відмінком</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Прийменники зі знахідним відмінком</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Прийменники з родовим  відмінком</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Прийменники з давальним відмінком і знахідним відмінком</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Числівник, утворення види, класифікація.</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Прислівник, їхня класифікація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Прикметник, утворення прикметника, граматичні категорії прикметника.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Семантична класифікація прикметників</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Ступені порівняння прикметників.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Відмінювання прикметника</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Займенник, класифікація займенників.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Сурядні речення.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Наказовий спосіб.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Інфінітивні конструкції. Інфінітивні речення.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Пасивний стан дієслів.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Утворення часових форм у пасивному стані.</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Вживання  пасивного стану.</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Підрядні речення означення.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Дієприкметники, утворення та вживання.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Поширене означення.</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Сполучники </w:t>
            </w:r>
            <w:r>
              <w:rPr>
                <w:rFonts w:ascii="Times New Roman" w:hAnsi="Times New Roman" w:eastAsia="Times New Roman" w:cs="Times New Roman"/>
                <w:color w:val="000000" w:themeColor="text1"/>
                <w:sz w:val="24"/>
                <w:szCs w:val="24"/>
                <w:lang w:val="de-DE"/>
                <w14:textFill>
                  <w14:solidFill>
                    <w14:schemeClr w14:val="tx1"/>
                  </w14:solidFill>
                </w14:textFill>
              </w:rPr>
              <w:t>andernfalls</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lang w:val="de-DE"/>
                <w14:textFill>
                  <w14:solidFill>
                    <w14:schemeClr w14:val="tx1"/>
                  </w14:solidFill>
                </w14:textFill>
              </w:rPr>
              <w:t>folglich</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lang w:val="de-DE"/>
                <w14:textFill>
                  <w14:solidFill>
                    <w14:schemeClr w14:val="tx1"/>
                  </w14:solidFill>
                </w14:textFill>
              </w:rPr>
              <w:t>au</w:t>
            </w:r>
            <w:r>
              <w:rPr>
                <w:rFonts w:ascii="Times New Roman" w:hAnsi="Times New Roman" w:eastAsia="Times New Roman" w:cs="Times New Roman"/>
                <w:color w:val="000000" w:themeColor="text1"/>
                <w:sz w:val="24"/>
                <w:szCs w:val="24"/>
                <w14:textFill>
                  <w14:solidFill>
                    <w14:schemeClr w14:val="tx1"/>
                  </w14:solidFill>
                </w14:textFill>
              </w:rPr>
              <w:t>ß</w:t>
            </w:r>
            <w:r>
              <w:rPr>
                <w:rFonts w:ascii="Times New Roman" w:hAnsi="Times New Roman" w:eastAsia="Times New Roman" w:cs="Times New Roman"/>
                <w:color w:val="000000" w:themeColor="text1"/>
                <w:sz w:val="24"/>
                <w:szCs w:val="24"/>
                <w:lang w:val="de-DE"/>
                <w14:textFill>
                  <w14:solidFill>
                    <w14:schemeClr w14:val="tx1"/>
                  </w14:solidFill>
                </w14:textFill>
              </w:rPr>
              <w:t>er</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lang w:val="de-DE"/>
                <w14:textFill>
                  <w14:solidFill>
                    <w14:schemeClr w14:val="tx1"/>
                  </w14:solidFill>
                </w14:textFill>
              </w:rPr>
              <w:t>wenn</w:t>
            </w:r>
            <w:r>
              <w:rPr>
                <w:rFonts w:ascii="Times New Roman" w:hAnsi="Times New Roman" w:eastAsia="Times New Roman" w:cs="Times New Roman"/>
                <w:color w:val="000000" w:themeColor="text1"/>
                <w:sz w:val="24"/>
                <w:szCs w:val="24"/>
                <w14:textFill>
                  <w14:solidFill>
                    <w14:schemeClr w14:val="tx1"/>
                  </w14:solidFill>
                </w14:textFill>
              </w:rPr>
              <w:t>…</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Відокремлювані і невідокремлювані дієслова.</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Способи передавання непрямої мови.</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Специфіка номінального і вербального стилів.</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Підрядні з’ясувальні  і означальні речення.</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Підрядні речення з </w:t>
            </w:r>
            <w:r>
              <w:rPr>
                <w:rFonts w:ascii="Times New Roman" w:hAnsi="Times New Roman" w:eastAsia="Times New Roman" w:cs="Times New Roman"/>
                <w:color w:val="000000" w:themeColor="text1"/>
                <w:sz w:val="24"/>
                <w:szCs w:val="24"/>
                <w:lang w:val="de-DE"/>
                <w14:textFill>
                  <w14:solidFill>
                    <w14:schemeClr w14:val="tx1"/>
                  </w14:solidFill>
                </w14:textFill>
              </w:rPr>
              <w:t>weshalb</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lang w:val="de-DE"/>
                <w14:textFill>
                  <w14:solidFill>
                    <w14:schemeClr w14:val="tx1"/>
                  </w14:solidFill>
                </w14:textFill>
              </w:rPr>
              <w:t>weswgen</w:t>
            </w:r>
            <w:r>
              <w:rPr>
                <w:rFonts w:ascii="Times New Roman" w:hAnsi="Times New Roman" w:eastAsia="Times New Roman" w:cs="Times New Roman"/>
                <w:color w:val="000000" w:themeColor="text1"/>
                <w:sz w:val="24"/>
                <w:szCs w:val="24"/>
                <w14:textFill>
                  <w14:solidFill>
                    <w14:schemeClr w14:val="tx1"/>
                  </w14:solidFill>
                </w14:textFill>
              </w:rPr>
              <w:t>.</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Номіналізація і вербалізація підрядних речень часу.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Номіналізація і вербалізація підрядних речень причини і способу дії.</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Підрядні речення мети.</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Номіналізація і вербалізація підрядних наслідкових речень. </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Інфінітивні речення в теперішньому і минулому часі.</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Особливості пасивної форми дієслова.</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Модальний дієприкметник.</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Суб’єктивне значення модальних дієслів: висловлення стверджень.</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Суб’єктивне значення модальних дієслів: висловлення припущень.</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Номіналізація і вербалізація прийменникових сполук.</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Сполучні слова </w:t>
            </w:r>
            <w:r>
              <w:rPr>
                <w:rFonts w:ascii="Times New Roman" w:hAnsi="Times New Roman" w:eastAsia="Times New Roman" w:cs="Times New Roman"/>
                <w:color w:val="000000" w:themeColor="text1"/>
                <w:sz w:val="24"/>
                <w:szCs w:val="24"/>
                <w:lang w:val="de-DE"/>
                <w14:textFill>
                  <w14:solidFill>
                    <w14:schemeClr w14:val="tx1"/>
                  </w14:solidFill>
                </w14:textFill>
              </w:rPr>
              <w:t>mittlerweile</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lang w:val="de-DE"/>
                <w14:textFill>
                  <w14:solidFill>
                    <w14:schemeClr w14:val="tx1"/>
                  </w14:solidFill>
                </w14:textFill>
              </w:rPr>
              <w:t>allerdings</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lang w:val="de-DE"/>
                <w14:textFill>
                  <w14:solidFill>
                    <w14:schemeClr w14:val="tx1"/>
                  </w14:solidFill>
                </w14:textFill>
              </w:rPr>
              <w:t>vielmehr</w:t>
            </w:r>
            <w:r>
              <w:rPr>
                <w:rFonts w:ascii="Times New Roman" w:hAnsi="Times New Roman" w:eastAsia="Times New Roman" w:cs="Times New Roman"/>
                <w:color w:val="000000" w:themeColor="text1"/>
                <w:sz w:val="24"/>
                <w:szCs w:val="24"/>
                <w14:textFill>
                  <w14:solidFill>
                    <w14:schemeClr w14:val="tx1"/>
                  </w14:solidFill>
                </w14:textFill>
              </w:rPr>
              <w:t>.</w:t>
            </w:r>
          </w:p>
          <w:p>
            <w:pPr>
              <w:tabs>
                <w:tab w:val="left" w:pos="284"/>
                <w:tab w:val="left" w:pos="567"/>
              </w:tabs>
              <w:spacing w:after="200" w:line="276" w:lineRule="auto"/>
              <w:jc w:val="both"/>
              <w:rPr>
                <w:rFonts w:ascii="Times New Roman" w:hAnsi="Times New Roman" w:eastAsia="Times New Roman" w:cs="Times New Roman"/>
                <w:color w:val="000000" w:themeColor="text1"/>
                <w:sz w:val="24"/>
                <w:szCs w:val="24"/>
                <w:highlight w:val="green"/>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Дієслова модальності.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75" w:type="dxa"/>
          </w:tcPr>
          <w:p>
            <w:pPr>
              <w:spacing w:after="200" w:line="276"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Опитування</w:t>
            </w:r>
          </w:p>
        </w:tc>
        <w:tc>
          <w:tcPr>
            <w:tcW w:w="6240" w:type="dxa"/>
          </w:tcPr>
          <w:p>
            <w:pPr>
              <w:spacing w:after="20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Анкету-оцінку з метою оцінювання якості курсу буде надано після завершення курсу.</w:t>
            </w:r>
          </w:p>
        </w:tc>
      </w:tr>
    </w:tbl>
    <w:p>
      <w:pPr>
        <w:jc w:val="center"/>
        <w:rPr>
          <w:rFonts w:ascii="Times New Roman" w:hAnsi="Times New Roman" w:eastAsia="Times New Roman" w:cs="Times New Roman"/>
          <w:b/>
          <w:bCs/>
          <w:color w:val="000000" w:themeColor="text1"/>
          <w:sz w:val="28"/>
          <w:szCs w:val="28"/>
          <w:lang w:val="ru-RU"/>
          <w14:textFill>
            <w14:solidFill>
              <w14:schemeClr w14:val="tx1"/>
            </w14:solidFill>
          </w14:textFill>
        </w:rPr>
      </w:pPr>
      <w:bookmarkStart w:id="0" w:name="_GoBack"/>
      <w:bookmarkEnd w:id="0"/>
    </w:p>
    <w:sectPr>
      <w:pgSz w:w="11906" w:h="16838"/>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ourier New">
    <w:panose1 w:val="02070609020205090404"/>
    <w:charset w:val="CC"/>
    <w:family w:val="modern"/>
    <w:pitch w:val="default"/>
    <w:sig w:usb0="E0000AFF" w:usb1="4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1" w:usb3="00000000" w:csb0="0000019F" w:csb1="00000000"/>
  </w:font>
  <w:font w:name="Verdana">
    <w:panose1 w:val="020B0604030504040204"/>
    <w:charset w:val="CC"/>
    <w:family w:val="swiss"/>
    <w:pitch w:val="default"/>
    <w:sig w:usb0="A10006FF" w:usb1="4000205B" w:usb2="00000010" w:usb3="00000000" w:csb0="2000019F" w:csb1="00000000"/>
  </w:font>
  <w:font w:name="Calibri Light">
    <w:altName w:val="Helvetica Neue"/>
    <w:panose1 w:val="020F0302020204030204"/>
    <w:charset w:val="CC"/>
    <w:family w:val="swiss"/>
    <w:pitch w:val="default"/>
    <w:sig w:usb0="00000000" w:usb1="00000000" w:usb2="00000000"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B5E83"/>
    <w:multiLevelType w:val="multilevel"/>
    <w:tmpl w:val="2CAB5E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4F7867E5"/>
    <w:multiLevelType w:val="multilevel"/>
    <w:tmpl w:val="4F7867E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A2F6095"/>
    <w:multiLevelType w:val="multilevel"/>
    <w:tmpl w:val="6A2F60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6CCE6575"/>
    <w:multiLevelType w:val="multilevel"/>
    <w:tmpl w:val="6CCE657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2723D19"/>
    <w:multiLevelType w:val="multilevel"/>
    <w:tmpl w:val="72723D1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7567D48"/>
    <w:multiLevelType w:val="multilevel"/>
    <w:tmpl w:val="77567D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AFB63"/>
    <w:rsid w:val="000220C1"/>
    <w:rsid w:val="000818C4"/>
    <w:rsid w:val="000827B0"/>
    <w:rsid w:val="000A322F"/>
    <w:rsid w:val="000B1073"/>
    <w:rsid w:val="000E117A"/>
    <w:rsid w:val="000E7CF8"/>
    <w:rsid w:val="00112C62"/>
    <w:rsid w:val="001773B1"/>
    <w:rsid w:val="001A30EE"/>
    <w:rsid w:val="0025189B"/>
    <w:rsid w:val="003894FD"/>
    <w:rsid w:val="0039435E"/>
    <w:rsid w:val="003945FB"/>
    <w:rsid w:val="004676BC"/>
    <w:rsid w:val="004C46C3"/>
    <w:rsid w:val="00521AF2"/>
    <w:rsid w:val="0053652E"/>
    <w:rsid w:val="005C4230"/>
    <w:rsid w:val="00605D1E"/>
    <w:rsid w:val="00640197"/>
    <w:rsid w:val="00662FC2"/>
    <w:rsid w:val="0067103F"/>
    <w:rsid w:val="006F5883"/>
    <w:rsid w:val="007067FF"/>
    <w:rsid w:val="007449F3"/>
    <w:rsid w:val="0075506E"/>
    <w:rsid w:val="007612ED"/>
    <w:rsid w:val="008149DA"/>
    <w:rsid w:val="00820EB9"/>
    <w:rsid w:val="00856F0F"/>
    <w:rsid w:val="00924F90"/>
    <w:rsid w:val="00954351"/>
    <w:rsid w:val="00987483"/>
    <w:rsid w:val="009C125A"/>
    <w:rsid w:val="00A2789B"/>
    <w:rsid w:val="00BA2359"/>
    <w:rsid w:val="00C940F5"/>
    <w:rsid w:val="00D45846"/>
    <w:rsid w:val="00DA6863"/>
    <w:rsid w:val="00DE62AC"/>
    <w:rsid w:val="00DF587E"/>
    <w:rsid w:val="00EF3659"/>
    <w:rsid w:val="00F4154A"/>
    <w:rsid w:val="00F87C4C"/>
    <w:rsid w:val="00F97501"/>
    <w:rsid w:val="00FA16A6"/>
    <w:rsid w:val="00FC334F"/>
    <w:rsid w:val="020D88E3"/>
    <w:rsid w:val="02850DA7"/>
    <w:rsid w:val="02A7126E"/>
    <w:rsid w:val="037035BF"/>
    <w:rsid w:val="054273A2"/>
    <w:rsid w:val="068EAE24"/>
    <w:rsid w:val="06E8BE86"/>
    <w:rsid w:val="070C0E21"/>
    <w:rsid w:val="0745F393"/>
    <w:rsid w:val="0767ED48"/>
    <w:rsid w:val="0833BAC3"/>
    <w:rsid w:val="091A675B"/>
    <w:rsid w:val="0A025510"/>
    <w:rsid w:val="0A54E57B"/>
    <w:rsid w:val="0B1850ED"/>
    <w:rsid w:val="0C21300C"/>
    <w:rsid w:val="0E47FA3F"/>
    <w:rsid w:val="0EA7DF1D"/>
    <w:rsid w:val="0ECCC7E1"/>
    <w:rsid w:val="0EF430E3"/>
    <w:rsid w:val="0FA0516A"/>
    <w:rsid w:val="0FF71DF3"/>
    <w:rsid w:val="10A985C2"/>
    <w:rsid w:val="10C426FF"/>
    <w:rsid w:val="11710BD8"/>
    <w:rsid w:val="12C5599B"/>
    <w:rsid w:val="13766D6A"/>
    <w:rsid w:val="13B0F92B"/>
    <w:rsid w:val="159FD424"/>
    <w:rsid w:val="168351E4"/>
    <w:rsid w:val="168852F3"/>
    <w:rsid w:val="17F2E9F4"/>
    <w:rsid w:val="181F2245"/>
    <w:rsid w:val="18B20809"/>
    <w:rsid w:val="18D7266A"/>
    <w:rsid w:val="19540B8E"/>
    <w:rsid w:val="19ABE972"/>
    <w:rsid w:val="1A01178A"/>
    <w:rsid w:val="1A7F3E40"/>
    <w:rsid w:val="1B6E0D64"/>
    <w:rsid w:val="1B896CD5"/>
    <w:rsid w:val="1BC7E912"/>
    <w:rsid w:val="1BF59ECF"/>
    <w:rsid w:val="1CBEFE8E"/>
    <w:rsid w:val="1CE16E22"/>
    <w:rsid w:val="1D798B38"/>
    <w:rsid w:val="1D7EFA1C"/>
    <w:rsid w:val="1D916F30"/>
    <w:rsid w:val="1DEE5F8C"/>
    <w:rsid w:val="1E2A3B00"/>
    <w:rsid w:val="1E946C4B"/>
    <w:rsid w:val="1F34BCDD"/>
    <w:rsid w:val="20D08D3E"/>
    <w:rsid w:val="21CE0DBC"/>
    <w:rsid w:val="21F98C2C"/>
    <w:rsid w:val="22613FC4"/>
    <w:rsid w:val="23E2EDCC"/>
    <w:rsid w:val="250DEA80"/>
    <w:rsid w:val="2543943E"/>
    <w:rsid w:val="259E9A2D"/>
    <w:rsid w:val="25A3FE61"/>
    <w:rsid w:val="25E6F4BF"/>
    <w:rsid w:val="26DD5720"/>
    <w:rsid w:val="2763898B"/>
    <w:rsid w:val="2820708B"/>
    <w:rsid w:val="2AD0B3AC"/>
    <w:rsid w:val="2AFF3CEB"/>
    <w:rsid w:val="2B37864C"/>
    <w:rsid w:val="2B535FF9"/>
    <w:rsid w:val="2BE9C3A0"/>
    <w:rsid w:val="2C913996"/>
    <w:rsid w:val="2D859401"/>
    <w:rsid w:val="2E5F0B3A"/>
    <w:rsid w:val="2E6AFE6C"/>
    <w:rsid w:val="2EF894C5"/>
    <w:rsid w:val="2F17FF7F"/>
    <w:rsid w:val="30102E2C"/>
    <w:rsid w:val="302FD6F0"/>
    <w:rsid w:val="30444F44"/>
    <w:rsid w:val="3110F796"/>
    <w:rsid w:val="313C2418"/>
    <w:rsid w:val="3221B6BC"/>
    <w:rsid w:val="32483C7A"/>
    <w:rsid w:val="32657EBB"/>
    <w:rsid w:val="328D016A"/>
    <w:rsid w:val="3327E8F6"/>
    <w:rsid w:val="33F84F4C"/>
    <w:rsid w:val="348D4ADA"/>
    <w:rsid w:val="359D1F7D"/>
    <w:rsid w:val="36023472"/>
    <w:rsid w:val="375192CC"/>
    <w:rsid w:val="378AA3FA"/>
    <w:rsid w:val="38009D02"/>
    <w:rsid w:val="38F8FC55"/>
    <w:rsid w:val="39C4E037"/>
    <w:rsid w:val="3B44A33D"/>
    <w:rsid w:val="3BF338A4"/>
    <w:rsid w:val="3C083221"/>
    <w:rsid w:val="3C3BE3A1"/>
    <w:rsid w:val="3E18DF85"/>
    <w:rsid w:val="3F2AD966"/>
    <w:rsid w:val="3F6F01EF"/>
    <w:rsid w:val="3FEB2591"/>
    <w:rsid w:val="41B598C4"/>
    <w:rsid w:val="41C0B07E"/>
    <w:rsid w:val="41CA0FDD"/>
    <w:rsid w:val="423AFB63"/>
    <w:rsid w:val="42F25A79"/>
    <w:rsid w:val="43EB65F0"/>
    <w:rsid w:val="44E1CAA7"/>
    <w:rsid w:val="46C52C45"/>
    <w:rsid w:val="4868C119"/>
    <w:rsid w:val="48CDFDF2"/>
    <w:rsid w:val="4997C01C"/>
    <w:rsid w:val="499FDCAB"/>
    <w:rsid w:val="49D130DF"/>
    <w:rsid w:val="4A52FECD"/>
    <w:rsid w:val="4A6294FA"/>
    <w:rsid w:val="4B412D6F"/>
    <w:rsid w:val="4BEECF2E"/>
    <w:rsid w:val="4C6A9755"/>
    <w:rsid w:val="4C8D6DE7"/>
    <w:rsid w:val="4EAA3C3E"/>
    <w:rsid w:val="4EB06234"/>
    <w:rsid w:val="4EEE8A10"/>
    <w:rsid w:val="4F4CC507"/>
    <w:rsid w:val="4F9033F2"/>
    <w:rsid w:val="50D1D67E"/>
    <w:rsid w:val="51382639"/>
    <w:rsid w:val="52239B1C"/>
    <w:rsid w:val="526F80E3"/>
    <w:rsid w:val="52A9F7CA"/>
    <w:rsid w:val="5346BEF1"/>
    <w:rsid w:val="536C60E5"/>
    <w:rsid w:val="5382B474"/>
    <w:rsid w:val="53F04EE3"/>
    <w:rsid w:val="5475A93A"/>
    <w:rsid w:val="548ED197"/>
    <w:rsid w:val="54963CD5"/>
    <w:rsid w:val="55F0480D"/>
    <w:rsid w:val="56919380"/>
    <w:rsid w:val="58D01DB6"/>
    <w:rsid w:val="59136D16"/>
    <w:rsid w:val="59491A5D"/>
    <w:rsid w:val="59EAAB74"/>
    <w:rsid w:val="5AECD844"/>
    <w:rsid w:val="5B207376"/>
    <w:rsid w:val="5B5CE58A"/>
    <w:rsid w:val="5C4593C9"/>
    <w:rsid w:val="5CF540F4"/>
    <w:rsid w:val="5E20EC36"/>
    <w:rsid w:val="5E6C1B13"/>
    <w:rsid w:val="5ED800F4"/>
    <w:rsid w:val="607CD9CD"/>
    <w:rsid w:val="610DD9DF"/>
    <w:rsid w:val="6142F16B"/>
    <w:rsid w:val="61517231"/>
    <w:rsid w:val="61587AED"/>
    <w:rsid w:val="615FAB4B"/>
    <w:rsid w:val="6200D4AB"/>
    <w:rsid w:val="627D86E5"/>
    <w:rsid w:val="63817265"/>
    <w:rsid w:val="6401C9CB"/>
    <w:rsid w:val="645A7628"/>
    <w:rsid w:val="6483BFB6"/>
    <w:rsid w:val="64D1B1EB"/>
    <w:rsid w:val="66960601"/>
    <w:rsid w:val="67690E1B"/>
    <w:rsid w:val="67CB5B4C"/>
    <w:rsid w:val="685931F5"/>
    <w:rsid w:val="6955809C"/>
    <w:rsid w:val="6A0881D2"/>
    <w:rsid w:val="6A6E3E32"/>
    <w:rsid w:val="6BC3A4F9"/>
    <w:rsid w:val="6BEED17B"/>
    <w:rsid w:val="6C197218"/>
    <w:rsid w:val="6C5D096E"/>
    <w:rsid w:val="6C78A359"/>
    <w:rsid w:val="6C8C6D40"/>
    <w:rsid w:val="6CF28A2A"/>
    <w:rsid w:val="6DCCCD8D"/>
    <w:rsid w:val="6DDEFB18"/>
    <w:rsid w:val="6F49908B"/>
    <w:rsid w:val="7007D601"/>
    <w:rsid w:val="704AF7EB"/>
    <w:rsid w:val="71293426"/>
    <w:rsid w:val="7149D29C"/>
    <w:rsid w:val="726F8B3F"/>
    <w:rsid w:val="72A5C064"/>
    <w:rsid w:val="736E4545"/>
    <w:rsid w:val="74968D9E"/>
    <w:rsid w:val="74D47DF6"/>
    <w:rsid w:val="7755E0FB"/>
    <w:rsid w:val="77A7252B"/>
    <w:rsid w:val="78047AA1"/>
    <w:rsid w:val="7848D9A5"/>
    <w:rsid w:val="7895218A"/>
    <w:rsid w:val="7A27928C"/>
    <w:rsid w:val="7A9DEEC6"/>
    <w:rsid w:val="7AAC7724"/>
    <w:rsid w:val="7B699A82"/>
    <w:rsid w:val="7D3F3B9B"/>
    <w:rsid w:val="7D8F8ACF"/>
    <w:rsid w:val="7E1FD01F"/>
    <w:rsid w:val="7EA600D9"/>
    <w:rsid w:val="7ED8F1E4"/>
    <w:rsid w:val="7EF80D86"/>
    <w:rsid w:val="7FF5FF0F"/>
    <w:rsid w:val="E71FC24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table" w:styleId="5">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6">
    <w:name w:val="value"/>
    <w:basedOn w:val="2"/>
    <w:qFormat/>
    <w:uiPriority w:val="0"/>
  </w:style>
  <w:style w:type="paragraph" w:customStyle="1" w:styleId="7">
    <w:name w:val="Default"/>
    <w:basedOn w:val="1"/>
    <w:qFormat/>
    <w:uiPriority w:val="0"/>
    <w:pPr>
      <w:spacing w:after="0" w:line="240" w:lineRule="auto"/>
    </w:pPr>
    <w:rPr>
      <w:rFonts w:ascii="Times New Roman" w:hAnsi="Times New Roman" w:cs="Times New Roman" w:eastAsiaTheme="minorEastAsia"/>
      <w:color w:val="000000" w:themeColor="text1"/>
      <w:sz w:val="24"/>
      <w:szCs w:val="24"/>
      <w14:textFill>
        <w14:solidFill>
          <w14:schemeClr w14:val="tx1"/>
        </w14:solidFill>
      </w14:textFill>
    </w:rPr>
  </w:style>
  <w:style w:type="paragraph" w:customStyle="1" w:styleId="8">
    <w:name w:val="Абзац списка1"/>
    <w:basedOn w:val="1"/>
    <w:qFormat/>
    <w:uiPriority w:val="0"/>
    <w:pPr>
      <w:spacing w:after="200" w:line="276" w:lineRule="auto"/>
      <w:ind w:left="720"/>
    </w:pPr>
    <w:rPr>
      <w:rFonts w:ascii="Calibri" w:hAnsi="Calibri" w:eastAsia="Times New Roman" w:cs="Times New Roman"/>
      <w:lang w:val="de-DE"/>
    </w:rPr>
  </w:style>
  <w:style w:type="paragraph" w:customStyle="1" w:styleId="9">
    <w:name w:val="No Spacing"/>
    <w:qFormat/>
    <w:uiPriority w:val="1"/>
    <w:pPr>
      <w:spacing w:after="0" w:line="240" w:lineRule="auto"/>
    </w:pPr>
    <w:rPr>
      <w:rFonts w:asciiTheme="minorHAnsi" w:hAnsiTheme="minorHAnsi" w:eastAsiaTheme="minorHAnsi" w:cstheme="minorBidi"/>
      <w:sz w:val="22"/>
      <w:szCs w:val="22"/>
      <w:lang w:val="uk-UA" w:eastAsia="en-US" w:bidi="ar-SA"/>
    </w:rPr>
  </w:style>
  <w:style w:type="paragraph" w:customStyle="1" w:styleId="10">
    <w:name w:val="List Paragraph"/>
    <w:basedOn w:val="1"/>
    <w:qFormat/>
    <w:uiPriority w:val="34"/>
    <w:pPr>
      <w:ind w:left="720"/>
      <w:contextualSpacing/>
    </w:pPr>
  </w:style>
  <w:style w:type="character" w:customStyle="1" w:styleId="11">
    <w:name w:val="Unresolved Mention"/>
    <w:basedOn w:val="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ScaleCrop>false</ScaleCrop>
  <LinksUpToDate>false</LinksUpToDate>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Ольга Денис</dc:creator>
  <cp:lastModifiedBy>olgadenys</cp:lastModifiedBy>
  <dcterms:modified xsi:type="dcterms:W3CDTF">2021-02-18T19:56:51Z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