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Львівський національний університете імені Івана Франка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Факультет іноземних мов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Кафедра перекладознавства і контрастивної лінгвістики імені Григорія Кочура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Затверджено</w:t>
      </w:r>
    </w:p>
    <w:p w:rsidR="00000000" w:rsidDel="00000000" w:rsidP="00000000" w:rsidRDefault="00000000" w:rsidRPr="00000000" w14:paraId="0000000C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засіданні кафедри перекладознавства </w:t>
      </w:r>
    </w:p>
    <w:p w:rsidR="00000000" w:rsidDel="00000000" w:rsidP="00000000" w:rsidRDefault="00000000" w:rsidRPr="00000000" w14:paraId="0000000D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 контрастивної лінгвістики</w:t>
      </w:r>
    </w:p>
    <w:p w:rsidR="00000000" w:rsidDel="00000000" w:rsidP="00000000" w:rsidRDefault="00000000" w:rsidRPr="00000000" w14:paraId="0000000E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імені Григорія Кочура</w:t>
      </w:r>
    </w:p>
    <w:p w:rsidR="00000000" w:rsidDel="00000000" w:rsidP="00000000" w:rsidRDefault="00000000" w:rsidRPr="00000000" w14:paraId="0000000F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факультету іноземних мов</w:t>
      </w:r>
    </w:p>
    <w:p w:rsidR="00000000" w:rsidDel="00000000" w:rsidP="00000000" w:rsidRDefault="00000000" w:rsidRPr="00000000" w14:paraId="00000010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11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імені Івана Франка </w:t>
      </w:r>
    </w:p>
    <w:p w:rsidR="00000000" w:rsidDel="00000000" w:rsidP="00000000" w:rsidRDefault="00000000" w:rsidRPr="00000000" w14:paraId="00000012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(протокол № ____від  2.02.2022 р.)</w:t>
      </w:r>
    </w:p>
    <w:p w:rsidR="00000000" w:rsidDel="00000000" w:rsidP="00000000" w:rsidRDefault="00000000" w:rsidRPr="00000000" w14:paraId="00000013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Завідувач кафедри _____________________________</w:t>
      </w:r>
    </w:p>
    <w:p w:rsidR="00000000" w:rsidDel="00000000" w:rsidP="00000000" w:rsidRDefault="00000000" w:rsidRPr="00000000" w14:paraId="00000017">
      <w:pPr>
        <w:ind w:left="2124" w:firstLine="707.999999999999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д.ф.н. Дзера О.В.</w:t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«ПЕРЕКЛАД ГАЛУЗЕВИХ ТЕКСТІВ»,</w:t>
      </w:r>
    </w:p>
    <w:p w:rsidR="00000000" w:rsidDel="00000000" w:rsidP="00000000" w:rsidRDefault="00000000" w:rsidRPr="00000000" w14:paraId="0000001F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що викладається в межах ОПП </w:t>
      </w:r>
    </w:p>
    <w:p w:rsidR="00000000" w:rsidDel="00000000" w:rsidP="00000000" w:rsidRDefault="00000000" w:rsidRPr="00000000" w14:paraId="00000020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«Переклад (англійська і друга іноземні мови)»</w:t>
      </w:r>
    </w:p>
    <w:p w:rsidR="00000000" w:rsidDel="00000000" w:rsidP="00000000" w:rsidRDefault="00000000" w:rsidRPr="00000000" w14:paraId="0000002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другого (магістерського) освітньо-наукового рівня вищої освіти</w:t>
      </w:r>
    </w:p>
    <w:p w:rsidR="00000000" w:rsidDel="00000000" w:rsidP="00000000" w:rsidRDefault="00000000" w:rsidRPr="00000000" w14:paraId="0000002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для здобувачів зі спеціальності</w:t>
      </w:r>
    </w:p>
    <w:p w:rsidR="00000000" w:rsidDel="00000000" w:rsidP="00000000" w:rsidRDefault="00000000" w:rsidRPr="00000000" w14:paraId="0000002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035 – Філологія </w:t>
      </w:r>
    </w:p>
    <w:p w:rsidR="00000000" w:rsidDel="00000000" w:rsidP="00000000" w:rsidRDefault="00000000" w:rsidRPr="00000000" w14:paraId="0000002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Львів 2022</w:t>
      </w:r>
    </w:p>
    <w:p w:rsidR="00000000" w:rsidDel="00000000" w:rsidP="00000000" w:rsidRDefault="00000000" w:rsidRPr="00000000" w14:paraId="00000036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115.0" w:type="dxa"/>
        <w:tblLayout w:type="fixed"/>
        <w:tblLook w:val="00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Переклад галузевих текстів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Львівський національний університет імені Івана Франка, м. Львів, вул. Університетська,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Факультет іноземних мов, кафедра перекладознавства і контрастивної лінгвістики імені Григорія Кочура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03 – Гуманітарні науки, 035 – Філологія, спеціалізація 035.041 – Германські мови та літератури (переклад – включно), перша – англійська,  кваліфікація: Магістр філології. Перекладач двох іноземних мов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Кам’янець Анжела Богданівна, канд. філол. н., доцент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angela.kamyanets@lnu.edu.ua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Консультації по 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Можливі он-лайн консультації через Zoom або подібні ресурси. Для погодження часу он-лайн консультацій прошу писати на електронну пошту.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https://lingua.lnu.edu.ua/course/pereklad-haluzevyh-tekstiv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Завдання курсу полягає у вдосконаленні вмінь і навичок студентів у перекладі текстів з різних галузей з використанням комп’ютерних технологій.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Дисципліна “Переклад галузевих текстів” є вибірковою дисципліною зі спеціальності англо-український переклад для освітньо-професійної програми: ПЕРЕКЛАД (АНГЛІЙСЬКА ТА ДРУГА ІНОЗЕМНІ МОВИ) другого (магістерського) рівня вищої освіти спеціалізації 035.041 – Германські мови та літератури (переклад – включно), перша – англійська, яка викладається в 1 семестрі магістратури в обсязі 3 кредитів (за Європейською Кредитно-Трансферною Системою ECTS).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курсу – ознайомити студентів з основами перекладу галузевих текстів. Після закінчення курсу студенти мають знати основні особливості галузевих текстів і вміти розв’язувати перекладацькі проблеми, зумовлені цими особливостями.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Карабан В. Переклад англійської наукової і технічної літератури. – Вінниця: Нова книга, 2002. – 564 с.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Мирам Г. Практический перевод. – К.: Ника-Центр, 2005. – 184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Черноватий Л., Карабан В. Переклад англомовної економічної літератури. Навчальний посібник. – Вінниця: Нова Книга, 2007.  – 411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375" w:hanging="142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Черноватий Л.М., Карабан В.І., Іванко Ю.П., Ліпко І.П. Переклад англомовної юридичної літератури. Посібник для студентів вищих закладів освіти (філологічні спеціальності та фах “Переклад”). – Вінниця: Нова книга, 2007. – 720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5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Bouharaoui А. Some lexical features of English legal language /TranslationDirectoty.Com. – Mode of access: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http://www.translationdirectory.com/articles/article1763.php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Tiersma P. Legal Language. – London: The University of Chicago Press, 1999. – Mode of access: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https://books.google.com.ua/books?id=1oG-VnnfBMYC&amp;printsec=frontcover&amp;hl=uk#v=onepage&amp;q&amp;f=false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Тривалість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 год.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годин аудиторних занять. З них 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rtl w:val="0"/>
              </w:rPr>
              <w:t xml:space="preserve"> годин лекцій, </w:t>
            </w: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color w:val="000000"/>
                <w:rtl w:val="0"/>
              </w:rPr>
              <w:t xml:space="preserve"> годи</w:t>
            </w:r>
            <w:r w:rsidDel="00000000" w:rsidR="00000000" w:rsidRPr="00000000">
              <w:rPr>
                <w:rtl w:val="0"/>
              </w:rPr>
              <w:t xml:space="preserve">ни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практичних</w:t>
            </w:r>
            <w:r w:rsidDel="00000000" w:rsidR="00000000" w:rsidRPr="00000000">
              <w:rPr>
                <w:color w:val="000000"/>
                <w:rtl w:val="0"/>
              </w:rPr>
              <w:t xml:space="preserve"> занять та 58 годин самостійної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11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Після завершення цього курсу студенти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будуть знати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pStyle w:val="Title"/>
              <w:numPr>
                <w:ilvl w:val="0"/>
                <w:numId w:val="11"/>
              </w:numPr>
              <w:spacing w:line="240" w:lineRule="auto"/>
              <w:ind w:left="232" w:hanging="142"/>
              <w:jc w:val="left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лексичні, граматичні та прагматичні проблеми перекладу галузевих текстів та способи їх розв’язання;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англійської юридичної мови та відповідні стратегії перекладу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Style w:val="Title"/>
              <w:spacing w:line="240" w:lineRule="auto"/>
              <w:ind w:left="0" w:firstLine="0"/>
              <w:jc w:val="left"/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rtl w:val="0"/>
              </w:rPr>
              <w:t xml:space="preserve">У результаті вивчення дисципліни студенти </w:t>
            </w:r>
            <w:r w:rsidDel="00000000" w:rsidR="00000000" w:rsidRPr="00000000">
              <w:rPr>
                <w:rtl w:val="0"/>
              </w:rPr>
              <w:t xml:space="preserve">повинні вміти</w:t>
            </w:r>
            <w:r w:rsidDel="00000000" w:rsidR="00000000" w:rsidRPr="00000000">
              <w:rPr>
                <w:i w:val="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tabs>
                <w:tab w:val="left" w:pos="-142"/>
              </w:tabs>
              <w:ind w:left="233" w:hanging="14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перекладати українською мовою англомовні галузеві тексти з використанням комп’ютерних технологій;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233" w:right="141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перекладати українською мовою англомовні юридичні тексти, зокрема контракти, з використанням комп’ютерних технологій.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Переклад, галузевий переклад, юридичний переклад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лекцій та </w:t>
            </w:r>
            <w:r w:rsidDel="00000000" w:rsidR="00000000" w:rsidRPr="00000000">
              <w:rPr>
                <w:rtl w:val="0"/>
              </w:rPr>
              <w:t xml:space="preserve">практичн</w:t>
            </w:r>
            <w:r w:rsidDel="00000000" w:rsidR="00000000" w:rsidRPr="00000000">
              <w:rPr>
                <w:color w:val="000000"/>
                <w:rtl w:val="0"/>
              </w:rPr>
              <w:t xml:space="preserve">их занять.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Style w:val="Heading5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ЗМІСТОВИЙ МОДУЛЬ 1.</w:t>
            </w:r>
          </w:p>
          <w:p w:rsidR="00000000" w:rsidDel="00000000" w:rsidP="00000000" w:rsidRDefault="00000000" w:rsidRPr="00000000" w14:paraId="0000006D">
            <w:pPr>
              <w:tabs>
                <w:tab w:val="left" w:pos="567"/>
              </w:tabs>
              <w:ind w:left="800" w:hanging="80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1.</w:t>
            </w:r>
            <w:r w:rsidDel="00000000" w:rsidR="00000000" w:rsidRPr="00000000">
              <w:rPr>
                <w:rtl w:val="0"/>
              </w:rPr>
              <w:t xml:space="preserve"> Lexical problems of technical translation</w:t>
            </w:r>
          </w:p>
          <w:p w:rsidR="00000000" w:rsidDel="00000000" w:rsidP="00000000" w:rsidRDefault="00000000" w:rsidRPr="00000000" w14:paraId="0000006E">
            <w:pPr>
              <w:tabs>
                <w:tab w:val="left" w:pos="567"/>
              </w:tabs>
              <w:ind w:left="800" w:hanging="80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1.</w:t>
            </w:r>
            <w:r w:rsidDel="00000000" w:rsidR="00000000" w:rsidRPr="00000000">
              <w:rPr>
                <w:rtl w:val="0"/>
              </w:rPr>
              <w:t xml:space="preserve"> Grammatical problems of technical translation</w:t>
            </w:r>
          </w:p>
          <w:p w:rsidR="00000000" w:rsidDel="00000000" w:rsidP="00000000" w:rsidRDefault="00000000" w:rsidRPr="00000000" w14:paraId="0000006F">
            <w:pPr>
              <w:tabs>
                <w:tab w:val="left" w:pos="567"/>
              </w:tabs>
              <w:ind w:left="800" w:hanging="80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3.</w:t>
            </w:r>
            <w:r w:rsidDel="00000000" w:rsidR="00000000" w:rsidRPr="00000000">
              <w:rPr>
                <w:rtl w:val="0"/>
              </w:rPr>
              <w:t xml:space="preserve"> Translation problems arising from insufficient knowledge of the subject matter</w:t>
            </w:r>
          </w:p>
          <w:p w:rsidR="00000000" w:rsidDel="00000000" w:rsidP="00000000" w:rsidRDefault="00000000" w:rsidRPr="00000000" w14:paraId="00000070">
            <w:pPr>
              <w:tabs>
                <w:tab w:val="left" w:pos="567"/>
              </w:tabs>
              <w:ind w:left="800" w:hanging="80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4.</w:t>
            </w:r>
            <w:r w:rsidDel="00000000" w:rsidR="00000000" w:rsidRPr="00000000">
              <w:rPr>
                <w:rtl w:val="0"/>
              </w:rPr>
              <w:t xml:space="preserve"> Translation problems arising from different background knowledge of the source and target audiences</w:t>
            </w:r>
          </w:p>
          <w:p w:rsidR="00000000" w:rsidDel="00000000" w:rsidP="00000000" w:rsidRDefault="00000000" w:rsidRPr="00000000" w14:paraId="00000071">
            <w:pPr>
              <w:tabs>
                <w:tab w:val="left" w:pos="567"/>
              </w:tabs>
              <w:ind w:left="800" w:hanging="80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5.</w:t>
            </w:r>
            <w:r w:rsidDel="00000000" w:rsidR="00000000" w:rsidRPr="00000000">
              <w:rPr>
                <w:rtl w:val="0"/>
              </w:rPr>
              <w:t xml:space="preserve"> Legal translation</w:t>
            </w:r>
          </w:p>
          <w:p w:rsidR="00000000" w:rsidDel="00000000" w:rsidP="00000000" w:rsidRDefault="00000000" w:rsidRPr="00000000" w14:paraId="0000007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Письмовий тест в кінці семестру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вивчення курсу студенти потребують базових знань з перекладознавства, достатніх для сприйняття категоріального апарату дисципліни.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Лекції (з використанням презентаційних технологій), практичний переклад, обговорення проблем перекладу на практичних заняттях.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Загальновживані програми й операційні системи.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лекції: 20% семестрової оцінки; максимальна кількість балів 20;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заняття: 50% семестрової оцінки; максимальна кількість балів 50;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залік: 30% семестрової оцінки. Максимальна кількість балів 30. Підсумкова максимальна кількість балів 100.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tl w:val="0"/>
              </w:rPr>
              <w:t xml:space="preserve"> є важливим складником навчання. Очікується, що всі студенти відвідають усі лекції і практичні заняття курсу. Студенти мають інформувати викладача про причини пропусків занять. Студенти зобов’язані дотримуватися термінів виконання завдань, передбачених курсом. 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інших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color w:val="000000"/>
                <w:rtl w:val="0"/>
              </w:rPr>
              <w:t xml:space="preserve"> Враховуються бали набрані на інтерактивних лекціях, практичних заняттях та бали підсумкового залікового тесту. При цьому обов’язково враховуються присутність і активність на заняттях. 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Питання до заліку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заліку студенти виконують письмовий переклад тексту, наданого викладачем, з використанням комп’ютерних технологій.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Схема курсу </w:t>
      </w:r>
    </w:p>
    <w:p w:rsidR="00000000" w:rsidDel="00000000" w:rsidP="00000000" w:rsidRDefault="00000000" w:rsidRPr="00000000" w14:paraId="0000008C">
      <w:pPr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84.0" w:type="dxa"/>
        <w:jc w:val="left"/>
        <w:tblInd w:w="-12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4111"/>
        <w:gridCol w:w="992"/>
        <w:gridCol w:w="4253"/>
        <w:gridCol w:w="567"/>
        <w:gridCol w:w="994"/>
        <w:tblGridChange w:id="0">
          <w:tblGrid>
            <w:gridCol w:w="567"/>
            <w:gridCol w:w="4111"/>
            <w:gridCol w:w="992"/>
            <w:gridCol w:w="4253"/>
            <w:gridCol w:w="567"/>
            <w:gridCol w:w="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Тиж.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Форма діяльності (заняття)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Література.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Завданнягод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Термін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1" w:right="0" w:hanging="9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Lexical problems of technical translation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практичні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Карабан В. Переклад англійської наукової і технічної літератури. – Вінниця: Нова книга, 2002. – 564 с.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Мирам Г. Практический перевод. – К.: Ника-Центр, 2005. – 184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7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Черноватий Л., Карабан В. Переклад англомовної економічної літератури. Навчальний посібник. – Вінниця: Нова Книга, 2007.  – 411 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16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2. Grammatical problems of translation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Карабан В. Переклад англійської наукової і технічної літератури. – Вінниця: Нова книга, 2002. – 564 с.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Мирам Г. Практический перевод. – К.: Ника-Центр, 2005. – 184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7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Черноватий Л., Карабан В. Переклад англомовної економічної літератури. Навчальний посібник. – Вінниця: Нова Книга, 2007.  – 411 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ind w:left="572" w:hanging="572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3. Translation problems arising from insufficient knowledge of the subject matter</w:t>
            </w:r>
          </w:p>
          <w:p w:rsidR="00000000" w:rsidDel="00000000" w:rsidP="00000000" w:rsidRDefault="00000000" w:rsidRPr="00000000" w14:paraId="000000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Карабан В. Переклад англійської наукової і технічної літератури. – Вінниця: Нова книга, 2002. – 564 с.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Мирам Г. Практический перевод. – К.: Ника-Центр, 2005. – 184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7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Черноватий Л., Карабан В. Переклад англомовної економічної літератури. Навчальний посібник. – Вінниця: Нова Книга, 2007.  – 411 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ind w:left="572" w:hanging="572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4. Translation problems arising from different background knowledge of the source and target audiences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Карабан В. Переклад англійської наукової і технічної літератури. – Вінниця: Нова книга, 2002. – 564 с.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99" w:hanging="14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Мирам Г. Практический перевод. – К.: Ника-Центр, 2005. – 184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Черноватий Л., Карабан В. Переклад англомовної економічної літератури. Навчальний посібник. – Вінниця: Нова Книга, 2007.  – 411 с.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2" w:right="0" w:hanging="5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5. Legal translation</w:t>
            </w:r>
          </w:p>
          <w:p w:rsidR="00000000" w:rsidDel="00000000" w:rsidP="00000000" w:rsidRDefault="00000000" w:rsidRPr="00000000" w14:paraId="000000BB">
            <w:pPr>
              <w:pStyle w:val="Heading1"/>
              <w:shd w:fill="ffffff" w:val="clear"/>
              <w:spacing w:before="0" w:lineRule="auto"/>
              <w:rPr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whit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2"/>
              </w:numPr>
              <w:ind w:left="141.7322834645671" w:right="100" w:hanging="141.7322834645671"/>
              <w:jc w:val="both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Черноватий Л.М., Карабан В.І., Іванко Ю.П., Ліпко І.П. Переклад англомовної юридичної літератури. Посібник для студентів вищих закладів освіти (філологічні спеціальності та фах “Переклад”). – Вінниця: Нова книга, 2007. – 720 с.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99" w:hanging="141.73228346456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Bouharaoui А. Some lexical features of English legal language /TranslationDirectoty.Com. – Mode of access: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http://www.translationdirectory.com/articles/article1763.php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1.7322834645671" w:right="0" w:hanging="141.732283464567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Tiersma P. Legal Language. – London: The University of Chicago Press, 1999. – Mode of access: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https://books.google.com.ua/books?id=1oG-VnnfBMYC&amp;printsec=frontcover&amp;hl=uk#v=onepage&amp;q&amp;f=false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ind w:firstLine="567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567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429" w:hanging="360"/>
      </w:pPr>
      <w:rPr/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86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87" w:hanging="360"/>
      </w:pPr>
      <w:rPr/>
    </w:lvl>
    <w:lvl w:ilvl="2">
      <w:start w:val="1"/>
      <w:numFmt w:val="lowerRoman"/>
      <w:lvlText w:val="%3."/>
      <w:lvlJc w:val="right"/>
      <w:pPr>
        <w:ind w:left="2307" w:hanging="180"/>
      </w:pPr>
      <w:rPr/>
    </w:lvl>
    <w:lvl w:ilvl="3">
      <w:start w:val="1"/>
      <w:numFmt w:val="decimal"/>
      <w:lvlText w:val="%4."/>
      <w:lvlJc w:val="left"/>
      <w:pPr>
        <w:ind w:left="3027" w:hanging="360"/>
      </w:pPr>
      <w:rPr/>
    </w:lvl>
    <w:lvl w:ilvl="4">
      <w:start w:val="1"/>
      <w:numFmt w:val="lowerLetter"/>
      <w:lvlText w:val="%5."/>
      <w:lvlJc w:val="left"/>
      <w:pPr>
        <w:ind w:left="3747" w:hanging="360"/>
      </w:pPr>
      <w:rPr/>
    </w:lvl>
    <w:lvl w:ilvl="5">
      <w:start w:val="1"/>
      <w:numFmt w:val="lowerRoman"/>
      <w:lvlText w:val="%6."/>
      <w:lvlJc w:val="right"/>
      <w:pPr>
        <w:ind w:left="4467" w:hanging="180"/>
      </w:pPr>
      <w:rPr/>
    </w:lvl>
    <w:lvl w:ilvl="6">
      <w:start w:val="1"/>
      <w:numFmt w:val="decimal"/>
      <w:lvlText w:val="%7."/>
      <w:lvlJc w:val="left"/>
      <w:pPr>
        <w:ind w:left="5187" w:hanging="360"/>
      </w:pPr>
      <w:rPr/>
    </w:lvl>
    <w:lvl w:ilvl="7">
      <w:start w:val="1"/>
      <w:numFmt w:val="lowerLetter"/>
      <w:lvlText w:val="%8."/>
      <w:lvlJc w:val="left"/>
      <w:pPr>
        <w:ind w:left="5907" w:hanging="360"/>
      </w:pPr>
      <w:rPr/>
    </w:lvl>
    <w:lvl w:ilvl="8">
      <w:start w:val="1"/>
      <w:numFmt w:val="lowerRoman"/>
      <w:lvlText w:val="%9."/>
      <w:lvlJc w:val="right"/>
      <w:pPr>
        <w:ind w:left="6627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3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3"/>
      <w:numFmt w:val="bullet"/>
      <w:lvlText w:val="-"/>
      <w:lvlJc w:val="left"/>
      <w:pPr>
        <w:ind w:left="720" w:hanging="360"/>
      </w:pPr>
      <w:rPr/>
    </w:lvl>
    <w:lvl w:ilvl="1">
      <w:start w:val="3"/>
      <w:numFmt w:val="bullet"/>
      <w:lvlText w:val="-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i w:val="1"/>
      <w:color w:val="1f3863"/>
    </w:rPr>
  </w:style>
  <w:style w:type="paragraph" w:styleId="Title">
    <w:name w:val="Title"/>
    <w:basedOn w:val="Normal"/>
    <w:next w:val="Normal"/>
    <w:pPr>
      <w:spacing w:line="360" w:lineRule="auto"/>
      <w:ind w:left="284"/>
      <w:jc w:val="center"/>
    </w:pPr>
    <w:rPr>
      <w:i w:val="1"/>
      <w:color w:val="000000"/>
    </w:rPr>
  </w:style>
  <w:style w:type="paragraph" w:styleId="a" w:default="1">
    <w:name w:val="Normal"/>
    <w:qFormat w:val="1"/>
    <w:rsid w:val="00F203C0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 w:val="1"/>
    <w:rsid w:val="00AE4C0A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AE4C0A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5">
    <w:name w:val="heading 5"/>
    <w:basedOn w:val="a"/>
    <w:next w:val="a"/>
    <w:link w:val="50"/>
    <w:uiPriority w:val="99"/>
    <w:qFormat w:val="1"/>
    <w:rsid w:val="00FE6EE6"/>
    <w:pPr>
      <w:spacing w:after="60" w:before="240"/>
      <w:outlineLvl w:val="4"/>
    </w:pPr>
    <w:rPr>
      <w:rFonts w:ascii="Calibri" w:hAnsi="Calibri"/>
      <w:b w:val="1"/>
      <w:bCs w:val="1"/>
      <w:i w:val="1"/>
      <w:iCs w:val="1"/>
      <w:color w:val="auto"/>
      <w:sz w:val="26"/>
      <w:szCs w:val="26"/>
      <w:lang w:eastAsia="ru-RU" w:val="uk-UA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327263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203C0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val="tr-TR"/>
    </w:rPr>
  </w:style>
  <w:style w:type="character" w:styleId="a4">
    <w:name w:val="Hyperlink"/>
    <w:basedOn w:val="a0"/>
    <w:uiPriority w:val="99"/>
    <w:unhideWhenUsed w:val="1"/>
    <w:rsid w:val="008B46DD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8B46DD"/>
    <w:rPr>
      <w:color w:val="605e5c"/>
      <w:shd w:color="auto" w:fill="e1dfdd" w:val="clear"/>
    </w:rPr>
  </w:style>
  <w:style w:type="paragraph" w:styleId="a5">
    <w:name w:val="Body Text"/>
    <w:basedOn w:val="a"/>
    <w:link w:val="a6"/>
    <w:rsid w:val="001D702A"/>
    <w:pPr>
      <w:spacing w:after="120"/>
    </w:pPr>
    <w:rPr>
      <w:color w:val="auto"/>
      <w:sz w:val="28"/>
      <w:lang w:eastAsia="ru-RU" w:val="ru-RU"/>
    </w:rPr>
  </w:style>
  <w:style w:type="character" w:styleId="a6" w:customStyle="1">
    <w:name w:val="Основной текст Знак"/>
    <w:basedOn w:val="a0"/>
    <w:link w:val="a5"/>
    <w:rsid w:val="001D702A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a7">
    <w:name w:val="Title"/>
    <w:basedOn w:val="a"/>
    <w:link w:val="a8"/>
    <w:qFormat w:val="1"/>
    <w:rsid w:val="001D702A"/>
    <w:pPr>
      <w:spacing w:line="360" w:lineRule="auto"/>
      <w:ind w:left="284"/>
      <w:jc w:val="center"/>
    </w:pPr>
    <w:rPr>
      <w:i w:val="1"/>
      <w:iCs w:val="1"/>
      <w:color w:val="auto"/>
    </w:rPr>
  </w:style>
  <w:style w:type="character" w:styleId="a8" w:customStyle="1">
    <w:name w:val="Название Знак"/>
    <w:basedOn w:val="a0"/>
    <w:link w:val="a7"/>
    <w:rsid w:val="001D702A"/>
    <w:rPr>
      <w:rFonts w:ascii="Times New Roman" w:cs="Times New Roman" w:eastAsia="Times New Roman" w:hAnsi="Times New Roman"/>
      <w:i w:val="1"/>
      <w:iCs w:val="1"/>
      <w:sz w:val="24"/>
      <w:szCs w:val="24"/>
      <w:lang w:val="en-US"/>
    </w:rPr>
  </w:style>
  <w:style w:type="paragraph" w:styleId="a9">
    <w:name w:val="Block Text"/>
    <w:basedOn w:val="a"/>
    <w:rsid w:val="001D702A"/>
    <w:pPr>
      <w:ind w:left="-108" w:right="-108"/>
      <w:jc w:val="center"/>
    </w:pPr>
    <w:rPr>
      <w:color w:val="auto"/>
      <w:sz w:val="16"/>
      <w:szCs w:val="20"/>
      <w:lang w:eastAsia="ru-RU" w:val="uk-UA"/>
    </w:rPr>
  </w:style>
  <w:style w:type="character" w:styleId="50" w:customStyle="1">
    <w:name w:val="Заголовок 5 Знак"/>
    <w:basedOn w:val="a0"/>
    <w:link w:val="5"/>
    <w:uiPriority w:val="99"/>
    <w:rsid w:val="00FE6EE6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ru-RU"/>
    </w:rPr>
  </w:style>
  <w:style w:type="paragraph" w:styleId="aa">
    <w:name w:val="footnote text"/>
    <w:basedOn w:val="a"/>
    <w:link w:val="ab"/>
    <w:rsid w:val="00D535CB"/>
    <w:rPr>
      <w:color w:val="auto"/>
      <w:sz w:val="20"/>
      <w:szCs w:val="20"/>
      <w:lang w:eastAsia="ro-RO" w:val="ro-RO"/>
    </w:rPr>
  </w:style>
  <w:style w:type="character" w:styleId="ab" w:customStyle="1">
    <w:name w:val="Текст сноски Знак"/>
    <w:basedOn w:val="a0"/>
    <w:link w:val="aa"/>
    <w:rsid w:val="00D535CB"/>
    <w:rPr>
      <w:rFonts w:ascii="Times New Roman" w:cs="Times New Roman" w:eastAsia="Times New Roman" w:hAnsi="Times New Roman"/>
      <w:sz w:val="20"/>
      <w:szCs w:val="20"/>
      <w:lang w:eastAsia="ro-RO" w:val="ro-RO"/>
    </w:rPr>
  </w:style>
  <w:style w:type="paragraph" w:styleId="Default" w:customStyle="1">
    <w:name w:val="Default"/>
    <w:rsid w:val="00DF6C9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paragraph" w:styleId="11" w:customStyle="1">
    <w:name w:val="Абзац списка1"/>
    <w:basedOn w:val="a"/>
    <w:qFormat w:val="1"/>
    <w:rsid w:val="00985266"/>
    <w:pPr>
      <w:spacing w:after="200" w:line="276" w:lineRule="auto"/>
      <w:ind w:left="720"/>
      <w:contextualSpacing w:val="1"/>
    </w:pPr>
    <w:rPr>
      <w:rFonts w:ascii="Calibri" w:eastAsia="Calibri" w:hAnsi="Calibri"/>
      <w:color w:val="auto"/>
      <w:sz w:val="22"/>
      <w:szCs w:val="22"/>
      <w:lang w:val="en-GB"/>
    </w:rPr>
  </w:style>
  <w:style w:type="paragraph" w:styleId="ac">
    <w:name w:val="Normal (Web)"/>
    <w:basedOn w:val="a"/>
    <w:unhideWhenUsed w:val="1"/>
    <w:rsid w:val="000E2244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30" w:customStyle="1">
    <w:name w:val="Заголовок 3 Знак"/>
    <w:basedOn w:val="a0"/>
    <w:link w:val="3"/>
    <w:uiPriority w:val="9"/>
    <w:rsid w:val="00AE4C0A"/>
    <w:rPr>
      <w:rFonts w:asciiTheme="majorHAnsi" w:cstheme="majorBidi" w:eastAsiaTheme="majorEastAsia" w:hAnsiTheme="majorHAnsi"/>
      <w:b w:val="1"/>
      <w:bCs w:val="1"/>
      <w:color w:val="4472c4" w:themeColor="accent1"/>
      <w:sz w:val="24"/>
      <w:szCs w:val="24"/>
      <w:lang w:val="en-US"/>
    </w:rPr>
  </w:style>
  <w:style w:type="character" w:styleId="10" w:customStyle="1">
    <w:name w:val="Заголовок 1 Знак"/>
    <w:basedOn w:val="a0"/>
    <w:link w:val="1"/>
    <w:uiPriority w:val="9"/>
    <w:rsid w:val="00AE4C0A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val="en-US"/>
    </w:rPr>
  </w:style>
  <w:style w:type="character" w:styleId="apple-converted-space" w:customStyle="1">
    <w:name w:val="apple-converted-space"/>
    <w:basedOn w:val="a0"/>
    <w:rsid w:val="00AE4C0A"/>
  </w:style>
  <w:style w:type="character" w:styleId="ad">
    <w:name w:val="Strong"/>
    <w:basedOn w:val="a0"/>
    <w:qFormat w:val="1"/>
    <w:rsid w:val="00AE4C0A"/>
    <w:rPr>
      <w:b w:val="1"/>
      <w:bCs w:val="1"/>
    </w:rPr>
  </w:style>
  <w:style w:type="character" w:styleId="ae">
    <w:name w:val="Emphasis"/>
    <w:basedOn w:val="a0"/>
    <w:uiPriority w:val="20"/>
    <w:qFormat w:val="1"/>
    <w:rsid w:val="00AE4C0A"/>
    <w:rPr>
      <w:i w:val="1"/>
      <w:iCs w:val="1"/>
    </w:rPr>
  </w:style>
  <w:style w:type="paragraph" w:styleId="af">
    <w:name w:val="Body Text Indent"/>
    <w:basedOn w:val="a"/>
    <w:link w:val="af0"/>
    <w:rsid w:val="00B0675E"/>
    <w:pPr>
      <w:spacing w:after="120"/>
      <w:ind w:left="283"/>
    </w:pPr>
    <w:rPr>
      <w:color w:val="auto"/>
      <w:lang w:eastAsia="ru-RU" w:val="uk-UA"/>
    </w:rPr>
  </w:style>
  <w:style w:type="character" w:styleId="af0" w:customStyle="1">
    <w:name w:val="Основной текст с отступом Знак"/>
    <w:basedOn w:val="a0"/>
    <w:link w:val="af"/>
    <w:rsid w:val="00B0675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style-span" w:customStyle="1">
    <w:name w:val="apple-style-span"/>
    <w:basedOn w:val="a0"/>
    <w:rsid w:val="00B0675E"/>
  </w:style>
  <w:style w:type="paragraph" w:styleId="FR2" w:customStyle="1">
    <w:name w:val="FR2"/>
    <w:rsid w:val="00B0675E"/>
    <w:pPr>
      <w:widowControl w:val="0"/>
      <w:spacing w:after="0" w:before="380" w:line="240" w:lineRule="auto"/>
    </w:pPr>
    <w:rPr>
      <w:rFonts w:ascii="Times New Roman" w:cs="Times New Roman" w:eastAsia="Times New Roman" w:hAnsi="Times New Roman"/>
      <w:b w:val="1"/>
      <w:snapToGrid w:val="0"/>
      <w:sz w:val="24"/>
      <w:szCs w:val="20"/>
      <w:lang w:eastAsia="ru-RU" w:val="en-US"/>
    </w:rPr>
  </w:style>
  <w:style w:type="character" w:styleId="60" w:customStyle="1">
    <w:name w:val="Заголовок 6 Знак"/>
    <w:basedOn w:val="a0"/>
    <w:link w:val="6"/>
    <w:semiHidden w:val="1"/>
    <w:rsid w:val="00327263"/>
    <w:rPr>
      <w:rFonts w:asciiTheme="majorHAnsi" w:cstheme="majorBidi" w:eastAsiaTheme="majorEastAsia" w:hAnsiTheme="majorHAnsi"/>
      <w:i w:val="1"/>
      <w:iCs w:val="1"/>
      <w:color w:val="1f3763" w:themeColor="accent1" w:themeShade="00007F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ooks.google.com.ua/books?id=1oG-VnnfBMYC&amp;printsec=frontcover&amp;hl=uk#v=onepage&amp;q&amp;f=false" TargetMode="External"/><Relationship Id="rId10" Type="http://schemas.openxmlformats.org/officeDocument/2006/relationships/hyperlink" Target="http://www.translationdirectory.com/articles/article1763.php" TargetMode="External"/><Relationship Id="rId9" Type="http://schemas.openxmlformats.org/officeDocument/2006/relationships/hyperlink" Target="https://books.google.com.ua/books?id=1oG-VnnfBMYC&amp;printsec=frontcover&amp;hl=uk#v=onepage&amp;q&amp;f=fals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ngua.lnu.edu.ua/course/pereklad-haluzevyh-tekstiv" TargetMode="External"/><Relationship Id="rId8" Type="http://schemas.openxmlformats.org/officeDocument/2006/relationships/hyperlink" Target="http://www.translationdirectory.com/articles/article1763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avAUpdeYpP/z2ZRLSojV2zx2A==">AMUW2mWr1AQM/T5Is0Sxudn5G20w+CSeUovgDsrn5lx90RPa6w8+yMHsPLR19rAstwcoMdAzIUfp3tD3xv3mIjhCEQI4h+midTWiVOgcGDot6FLjwUOU3C2QqAX+fOoDCoFwaIn+NSPZ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2023-01-14T11:39:00Z</dcterms:created>
  <dc:creator>Ory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bf0e05203f64cfdbc33906b223f3f197caf652e470bc8ef60d0c5cb161c6b3eb</vt:lpwstr>
  </property>
</Properties>
</file>