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Львівський національний університет імені Івана Франка</w:t>
      </w:r>
    </w:p>
    <w:p>
      <w:pPr>
        <w:jc w:val="center"/>
        <w:rPr>
          <w:b/>
          <w:sz w:val="28"/>
          <w:szCs w:val="28"/>
        </w:rPr>
      </w:pPr>
      <w:r>
        <w:rPr>
          <w:b/>
          <w:sz w:val="28"/>
          <w:szCs w:val="28"/>
        </w:rPr>
        <w:t>Кафедра міжкультурної комунікації та перекладу</w:t>
      </w:r>
    </w:p>
    <w:p>
      <w:pPr>
        <w:jc w:val="center"/>
        <w:rPr>
          <w:b/>
          <w:sz w:val="28"/>
          <w:szCs w:val="28"/>
          <w:lang w:val="ru-RU"/>
        </w:rPr>
      </w:pPr>
    </w:p>
    <w:p>
      <w:pPr>
        <w:jc w:val="center"/>
        <w:rPr>
          <w:b/>
          <w:sz w:val="28"/>
          <w:szCs w:val="28"/>
          <w:lang w:val="ru-RU"/>
        </w:rPr>
      </w:pPr>
    </w:p>
    <w:p>
      <w:pPr>
        <w:jc w:val="center"/>
        <w:rPr>
          <w:b/>
          <w:sz w:val="28"/>
          <w:szCs w:val="28"/>
          <w:lang w:val="ru-RU"/>
        </w:rPr>
      </w:pPr>
      <w:r>
        <w:rPr>
          <w:b/>
          <w:sz w:val="28"/>
          <w:szCs w:val="28"/>
          <w:lang w:val="ru-RU"/>
        </w:rPr>
        <w:t>С И Л А Б У С</w:t>
      </w: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r>
        <w:rPr>
          <w:b/>
          <w:sz w:val="28"/>
          <w:szCs w:val="28"/>
          <w:lang w:val="ru-RU"/>
        </w:rPr>
        <w:t>Переклад різножанрових текстів</w:t>
      </w: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rPr>
      </w:pPr>
    </w:p>
    <w:p>
      <w:pPr>
        <w:rPr>
          <w:b/>
          <w:sz w:val="28"/>
          <w:szCs w:val="28"/>
          <w:lang w:val="ru-RU"/>
        </w:rPr>
      </w:pPr>
      <w:r>
        <w:rPr>
          <w:b/>
          <w:sz w:val="28"/>
          <w:szCs w:val="28"/>
          <w:lang w:val="ru-RU"/>
        </w:rPr>
        <w:t xml:space="preserve">Освітній рівень </w:t>
      </w:r>
      <w:r>
        <w:rPr>
          <w:b/>
          <w:sz w:val="28"/>
          <w:szCs w:val="28"/>
          <w:lang w:val="ru-RU"/>
        </w:rPr>
        <w:tab/>
      </w:r>
      <w:r>
        <w:rPr>
          <w:b/>
          <w:sz w:val="28"/>
          <w:szCs w:val="28"/>
          <w:lang w:val="ru-RU"/>
        </w:rPr>
        <w:t>бакалавр</w:t>
      </w:r>
    </w:p>
    <w:p>
      <w:pPr>
        <w:tabs>
          <w:tab w:val="left" w:pos="2127"/>
        </w:tabs>
        <w:rPr>
          <w:b/>
          <w:sz w:val="28"/>
          <w:szCs w:val="28"/>
          <w:lang w:val="ru-RU"/>
        </w:rPr>
      </w:pPr>
      <w:r>
        <w:rPr>
          <w:b/>
          <w:sz w:val="28"/>
          <w:szCs w:val="28"/>
          <w:lang w:val="ru-RU"/>
        </w:rPr>
        <w:t xml:space="preserve">Галузь знань </w:t>
      </w:r>
      <w:r>
        <w:rPr>
          <w:b/>
          <w:sz w:val="28"/>
          <w:szCs w:val="28"/>
          <w:lang w:val="ru-RU"/>
        </w:rPr>
        <w:tab/>
      </w:r>
      <w:r>
        <w:rPr>
          <w:b/>
          <w:sz w:val="28"/>
          <w:szCs w:val="28"/>
          <w:lang w:val="ru-RU"/>
        </w:rPr>
        <w:t xml:space="preserve">03 </w:t>
      </w:r>
      <w:r>
        <w:rPr>
          <w:b/>
          <w:sz w:val="28"/>
          <w:szCs w:val="28"/>
        </w:rPr>
        <w:t>Г</w:t>
      </w:r>
      <w:r>
        <w:rPr>
          <w:b/>
          <w:sz w:val="28"/>
          <w:szCs w:val="28"/>
          <w:lang w:val="ru-RU"/>
        </w:rPr>
        <w:t>уманітарні науки</w:t>
      </w:r>
    </w:p>
    <w:p>
      <w:pPr>
        <w:rPr>
          <w:b/>
          <w:sz w:val="28"/>
          <w:szCs w:val="28"/>
          <w:lang w:val="ru-RU"/>
        </w:rPr>
      </w:pPr>
      <w:r>
        <w:rPr>
          <w:b/>
          <w:sz w:val="28"/>
          <w:szCs w:val="28"/>
          <w:lang w:val="ru-RU"/>
        </w:rPr>
        <w:t xml:space="preserve">Спеціальність </w:t>
      </w:r>
      <w:r>
        <w:rPr>
          <w:b/>
          <w:sz w:val="28"/>
          <w:szCs w:val="28"/>
          <w:lang w:val="ru-RU"/>
        </w:rPr>
        <w:tab/>
      </w:r>
      <w:r>
        <w:rPr>
          <w:b/>
          <w:sz w:val="28"/>
          <w:szCs w:val="28"/>
          <w:lang w:val="ru-RU"/>
        </w:rPr>
        <w:t>035 Філологія</w:t>
      </w:r>
    </w:p>
    <w:p>
      <w:pPr>
        <w:rPr>
          <w:sz w:val="28"/>
          <w:szCs w:val="28"/>
          <w:lang w:val="ru-RU"/>
        </w:rPr>
      </w:pPr>
      <w:r>
        <w:rPr>
          <w:b/>
          <w:sz w:val="28"/>
          <w:szCs w:val="28"/>
          <w:lang w:val="ru-RU"/>
        </w:rPr>
        <w:t xml:space="preserve">Спеціалізація </w:t>
      </w:r>
      <w:r>
        <w:rPr>
          <w:b/>
          <w:sz w:val="28"/>
          <w:szCs w:val="28"/>
          <w:lang w:val="ru-RU"/>
        </w:rPr>
        <w:tab/>
      </w:r>
      <w:r>
        <w:rPr>
          <w:b/>
          <w:bCs/>
          <w:sz w:val="28"/>
          <w:szCs w:val="28"/>
        </w:rPr>
        <w:t>035.043 германські мови та літератури (переклад включно), перша – німецька</w:t>
      </w:r>
      <w:r>
        <w:rPr>
          <w:sz w:val="28"/>
          <w:szCs w:val="28"/>
        </w:rPr>
        <w:t> </w:t>
      </w:r>
    </w:p>
    <w:p>
      <w:pPr>
        <w:rPr>
          <w:lang w:val="ru-RU"/>
        </w:rPr>
      </w:pPr>
      <w:r>
        <w:rPr>
          <w:b/>
          <w:sz w:val="28"/>
          <w:szCs w:val="28"/>
        </w:rPr>
        <w:t>ОПП</w:t>
      </w:r>
      <w:r>
        <w:rPr>
          <w:sz w:val="28"/>
          <w:szCs w:val="28"/>
        </w:rPr>
        <w:t> </w:t>
      </w:r>
      <w:r>
        <w:rPr>
          <w:b/>
          <w:bCs/>
          <w:sz w:val="28"/>
          <w:szCs w:val="28"/>
        </w:rPr>
        <w:t>Переклад двох іноземних мов та міжкультурна комунікація</w:t>
      </w:r>
    </w:p>
    <w:p>
      <w:pPr>
        <w:rPr>
          <w:b/>
          <w:lang w:val="ru-RU"/>
        </w:rPr>
      </w:pPr>
    </w:p>
    <w:p>
      <w:pPr>
        <w:ind w:left="2127" w:hanging="2127"/>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p>
    <w:p>
      <w:pPr>
        <w:jc w:val="center"/>
        <w:rPr>
          <w:b/>
          <w:sz w:val="28"/>
          <w:szCs w:val="28"/>
          <w:lang w:val="ru-RU"/>
        </w:rPr>
      </w:pPr>
      <w:r>
        <w:rPr>
          <w:b/>
          <w:sz w:val="28"/>
          <w:szCs w:val="28"/>
          <w:lang w:val="ru-RU"/>
        </w:rPr>
        <w:t>Львів – 2021 рік</w:t>
      </w:r>
      <w:r>
        <w:rPr>
          <w:b/>
          <w:sz w:val="28"/>
          <w:szCs w:val="28"/>
          <w:lang w:val="ru-RU"/>
        </w:rPr>
        <w:br w:type="page"/>
      </w:r>
    </w:p>
    <w:p>
      <w:pPr>
        <w:jc w:val="center"/>
        <w:rPr>
          <w:b/>
        </w:rPr>
      </w:pPr>
      <w:r>
        <w:rPr>
          <w:b/>
        </w:rPr>
        <w:t>Силабус курсу «Переклад різножанрових текстів»</w:t>
      </w:r>
    </w:p>
    <w:p>
      <w:pPr>
        <w:jc w:val="center"/>
        <w:rPr>
          <w:b/>
        </w:rPr>
      </w:pPr>
      <w:r>
        <w:rPr>
          <w:b/>
        </w:rPr>
        <w:t>2020/2021 навчального року</w:t>
      </w:r>
    </w:p>
    <w:p>
      <w:pPr>
        <w:jc w:val="center"/>
        <w:rPr>
          <w:b/>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b/>
                <w:lang w:val="ru-RU"/>
              </w:rPr>
            </w:pPr>
            <w:r>
              <w:rPr>
                <w:b/>
                <w:lang w:val="ru-RU"/>
              </w:rPr>
              <w:t>Назва курсу</w:t>
            </w:r>
          </w:p>
        </w:tc>
        <w:tc>
          <w:tcPr>
            <w:tcW w:w="6486" w:type="dxa"/>
          </w:tcPr>
          <w:p>
            <w:pPr>
              <w:jc w:val="center"/>
              <w:rPr>
                <w:b/>
                <w:lang w:val="ru-RU"/>
              </w:rPr>
            </w:pPr>
            <w:r>
              <w:rPr>
                <w:b/>
                <w:lang w:val="ru-RU"/>
              </w:rPr>
              <w:t>Переклад різножанрових текстів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b/>
                <w:lang w:val="ru-RU"/>
              </w:rPr>
            </w:pPr>
            <w:r>
              <w:rPr>
                <w:b/>
              </w:rPr>
              <w:t>Адреса викладання курсу</w:t>
            </w:r>
          </w:p>
        </w:tc>
        <w:tc>
          <w:tcPr>
            <w:tcW w:w="6486" w:type="dxa"/>
          </w:tcPr>
          <w:p>
            <w:pPr>
              <w:jc w:val="both"/>
              <w:rPr>
                <w:b/>
                <w:lang w:val="ru-RU"/>
              </w:rPr>
            </w:pPr>
            <w:r>
              <w:t>Львівський національний університет імені Івана Франка, м. Львів, вул. Університетська</w:t>
            </w:r>
            <w:r>
              <w:rPr>
                <w:lang w:val="ru-RU"/>
              </w:rPr>
              <w:t>,</w:t>
            </w:r>
            <w: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b/>
                <w:lang w:val="ru-RU"/>
              </w:rPr>
            </w:pPr>
            <w:r>
              <w:rPr>
                <w:b/>
                <w:lang w:eastAsia="uk-UA"/>
              </w:rPr>
              <w:t>Факультет та кафедра, за якою закріплена дисципліна</w:t>
            </w:r>
          </w:p>
        </w:tc>
        <w:tc>
          <w:tcPr>
            <w:tcW w:w="6486" w:type="dxa"/>
          </w:tcPr>
          <w:p>
            <w:pPr>
              <w:shd w:val="clear" w:color="auto" w:fill="FFFFFF"/>
              <w:jc w:val="both"/>
              <w:textAlignment w:val="baseline"/>
            </w:pPr>
            <w:r>
              <w:t xml:space="preserve">Факультет іноземних мов, </w:t>
            </w:r>
          </w:p>
          <w:p>
            <w:pPr>
              <w:jc w:val="both"/>
              <w:rPr>
                <w:b/>
                <w:lang w:val="ru-RU"/>
              </w:rPr>
            </w:pPr>
            <w: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jc w:val="center"/>
              <w:rPr>
                <w:b/>
                <w:lang w:val="ru-RU"/>
              </w:rPr>
            </w:pPr>
            <w:r>
              <w:rPr>
                <w:b/>
                <w:lang w:eastAsia="uk-UA"/>
              </w:rPr>
              <w:t>Галузь знань, шифр та назва спеціальності</w:t>
            </w:r>
          </w:p>
        </w:tc>
        <w:tc>
          <w:tcPr>
            <w:tcW w:w="6486" w:type="dxa"/>
          </w:tcPr>
          <w:p>
            <w:pPr>
              <w:jc w:val="both"/>
            </w:pPr>
            <w:r>
              <w:t xml:space="preserve">Галузь знань </w:t>
            </w:r>
            <w:r>
              <w:rPr>
                <w:i/>
              </w:rPr>
              <w:t>03 Гуманітарні науки</w:t>
            </w:r>
          </w:p>
          <w:p>
            <w:pPr>
              <w:jc w:val="both"/>
            </w:pPr>
            <w:r>
              <w:t xml:space="preserve">Спеціальність </w:t>
            </w:r>
            <w:r>
              <w:rPr>
                <w:i/>
              </w:rPr>
              <w:t>035 Філологія</w:t>
            </w:r>
          </w:p>
          <w:p>
            <w:pPr>
              <w:jc w:val="both"/>
              <w:rPr>
                <w:sz w:val="28"/>
                <w:szCs w:val="28"/>
              </w:rPr>
            </w:pPr>
            <w:r>
              <w:t xml:space="preserve">Спеціалізація </w:t>
            </w:r>
            <w:r>
              <w:rPr>
                <w:rFonts w:eastAsiaTheme="minorHAnsi"/>
                <w:i/>
                <w:lang w:eastAsia="en-US"/>
              </w:rPr>
              <w:t>германські мови та літератури (переклад включно), перша – німецька</w:t>
            </w:r>
            <w:r>
              <w:rPr>
                <w:sz w:val="28"/>
                <w:szCs w:val="28"/>
              </w:rPr>
              <w:t> </w:t>
            </w:r>
          </w:p>
          <w:p>
            <w:pPr>
              <w:rPr>
                <w:lang w:val="uk-UA"/>
              </w:rPr>
            </w:pPr>
            <w:r>
              <w:rPr>
                <w:sz w:val="28"/>
                <w:szCs w:val="28"/>
              </w:rPr>
              <w:t xml:space="preserve">ОП </w:t>
            </w:r>
            <w:r>
              <w:rPr>
                <w:i/>
              </w:rPr>
              <w:t xml:space="preserve">Переклад двох іноземних мов та </w:t>
            </w:r>
            <w:r>
              <w:rPr>
                <w:rFonts w:eastAsiaTheme="minorHAnsi"/>
                <w:i/>
                <w:lang w:eastAsia="en-US"/>
              </w:rPr>
              <w:t>міжкультурна комунікація</w:t>
            </w:r>
          </w:p>
        </w:tc>
      </w:tr>
    </w:tbl>
    <w:p>
      <w:pPr>
        <w:jc w:val="center"/>
        <w:rPr>
          <w:b/>
        </w:rPr>
      </w:pPr>
    </w:p>
    <w:p>
      <w:pPr>
        <w:jc w:val="center"/>
        <w:rPr>
          <w:b/>
          <w:lang w:val="ru-RU"/>
        </w:rPr>
      </w:pPr>
      <w:r>
        <w:rPr>
          <w:b/>
          <w:lang w:val="ru-RU"/>
        </w:rPr>
        <w:t>ІНФОРМАЦІЯ ПРО ВИКЛАДАЧА</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Прізвище, ім'я, по батькові</w:t>
            </w:r>
          </w:p>
        </w:tc>
        <w:tc>
          <w:tcPr>
            <w:tcW w:w="6486" w:type="dxa"/>
          </w:tcPr>
          <w:p>
            <w:pPr>
              <w:rPr>
                <w:b/>
                <w:lang w:val="ru-RU"/>
              </w:rPr>
            </w:pPr>
            <w:r>
              <w:rPr>
                <w:b/>
                <w:lang w:val="ru-RU"/>
              </w:rPr>
              <w:t>Паславська Алла Йосипівна</w:t>
            </w:r>
          </w:p>
        </w:tc>
      </w:tr>
      <w:tr>
        <w:tc>
          <w:tcPr>
            <w:tcW w:w="3085" w:type="dxa"/>
          </w:tcPr>
          <w:p>
            <w:pPr>
              <w:rPr>
                <w:b/>
                <w:lang w:val="ru-RU"/>
              </w:rPr>
            </w:pPr>
            <w:r>
              <w:rPr>
                <w:b/>
              </w:rPr>
              <w:t>Науковий ступінь</w:t>
            </w:r>
          </w:p>
        </w:tc>
        <w:tc>
          <w:tcPr>
            <w:tcW w:w="6486" w:type="dxa"/>
          </w:tcPr>
          <w:p>
            <w:pPr>
              <w:jc w:val="both"/>
              <w:rPr>
                <w:b/>
                <w:lang w:val="ru-RU"/>
              </w:rPr>
            </w:pPr>
            <w:r>
              <w:t>доктор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rPr>
              <w:t>Вчене звання</w:t>
            </w:r>
          </w:p>
        </w:tc>
        <w:tc>
          <w:tcPr>
            <w:tcW w:w="6486" w:type="dxa"/>
          </w:tcPr>
          <w:p>
            <w:pPr>
              <w:jc w:val="both"/>
              <w:rPr>
                <w:b/>
                <w:lang w:val="ru-RU"/>
              </w:rPr>
            </w:pPr>
            <w:r>
              <w:t>професор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rPr>
              <w:t xml:space="preserve">Посада </w:t>
            </w:r>
          </w:p>
        </w:tc>
        <w:tc>
          <w:tcPr>
            <w:tcW w:w="6486" w:type="dxa"/>
          </w:tcPr>
          <w:p>
            <w:pPr>
              <w:jc w:val="both"/>
              <w:rPr>
                <w:b/>
                <w:lang w:val="ru-RU"/>
              </w:rPr>
            </w:pPr>
            <w:r>
              <w:rPr>
                <w:lang w:val="ru-RU"/>
              </w:rPr>
              <w:t>завідувач</w:t>
            </w:r>
            <w:r>
              <w:t xml:space="preserve">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Місце роботи</w:t>
            </w:r>
          </w:p>
        </w:tc>
        <w:tc>
          <w:tcPr>
            <w:tcW w:w="6486" w:type="dxa"/>
          </w:tcPr>
          <w:p>
            <w:pPr>
              <w:jc w:val="both"/>
              <w:rPr>
                <w:b/>
                <w:lang w:val="ru-RU"/>
              </w:rPr>
            </w:pPr>
            <w: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Електронна адреса</w:t>
            </w:r>
          </w:p>
        </w:tc>
        <w:tc>
          <w:tcPr>
            <w:tcW w:w="6486" w:type="dxa"/>
          </w:tcPr>
          <w:p>
            <w:r>
              <w:fldChar w:fldCharType="begin"/>
            </w:r>
            <w:r>
              <w:instrText xml:space="preserve"> HYPERLINK "mailto:alla@mail.lviv.ua" </w:instrText>
            </w:r>
            <w:r>
              <w:fldChar w:fldCharType="separate"/>
            </w:r>
            <w:r>
              <w:rPr>
                <w:rStyle w:val="14"/>
              </w:rPr>
              <w:t>alla</w:t>
            </w:r>
            <w:r>
              <w:rPr>
                <w:rStyle w:val="14"/>
                <w:lang w:val="ru-RU"/>
              </w:rPr>
              <w:t>@</w:t>
            </w:r>
            <w:r>
              <w:rPr>
                <w:rStyle w:val="14"/>
              </w:rPr>
              <w:t>mail</w:t>
            </w:r>
            <w:r>
              <w:rPr>
                <w:rStyle w:val="14"/>
                <w:lang w:val="ru-RU"/>
              </w:rPr>
              <w:t>.</w:t>
            </w:r>
            <w:r>
              <w:rPr>
                <w:rStyle w:val="14"/>
              </w:rPr>
              <w:t>lviv</w:t>
            </w:r>
            <w:r>
              <w:rPr>
                <w:rStyle w:val="14"/>
                <w:lang w:val="ru-RU"/>
              </w:rPr>
              <w:t>.</w:t>
            </w:r>
            <w:r>
              <w:rPr>
                <w:rStyle w:val="14"/>
              </w:rPr>
              <w:t>ua</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Сторінка викладача</w:t>
            </w:r>
          </w:p>
        </w:tc>
        <w:tc>
          <w:tcPr>
            <w:tcW w:w="6486" w:type="dxa"/>
          </w:tcPr>
          <w:p>
            <w:r>
              <w:fldChar w:fldCharType="begin"/>
            </w:r>
            <w:r>
              <w:instrText xml:space="preserve"> HYPERLINK "https://lingua.lnu.edu.ua/employee/paslavska-alla-josypivna" </w:instrText>
            </w:r>
            <w:r>
              <w:fldChar w:fldCharType="separate"/>
            </w:r>
            <w:r>
              <w:rPr>
                <w:rStyle w:val="14"/>
              </w:rPr>
              <w:t>https://lingua.lnu.edu.ua/employee/paslavska-alla-josypivna</w:t>
            </w:r>
            <w:r>
              <w:rPr>
                <w:rStyle w:val="14"/>
              </w:rPr>
              <w:fldChar w:fldCharType="end"/>
            </w:r>
          </w:p>
        </w:tc>
      </w:tr>
    </w:tbl>
    <w:p>
      <w:pPr>
        <w:rPr>
          <w:b/>
          <w:lang w:val="ru-RU"/>
        </w:rPr>
      </w:pPr>
    </w:p>
    <w:p>
      <w:pPr>
        <w:jc w:val="center"/>
        <w:rPr>
          <w:b/>
          <w:lang w:val="ru-RU"/>
        </w:rPr>
      </w:pPr>
      <w:r>
        <w:rPr>
          <w:b/>
          <w:lang w:val="ru-RU"/>
        </w:rPr>
        <w:t xml:space="preserve">КОНСУЛЬТАЦІЇ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Час</w:t>
            </w:r>
          </w:p>
        </w:tc>
        <w:tc>
          <w:tcPr>
            <w:tcW w:w="6486" w:type="dxa"/>
          </w:tcPr>
          <w:p>
            <w:pPr>
              <w:rPr>
                <w:lang w:val="ru-RU"/>
              </w:rPr>
            </w:pPr>
            <w:r>
              <w:rPr>
                <w:color w:val="FF0000"/>
                <w:lang w:val="ru-RU"/>
              </w:rPr>
              <w:t xml:space="preserve">Щопонеділка, 11.50-13.10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rPr>
                <w:b/>
                <w:lang w:val="ru-RU"/>
              </w:rPr>
            </w:pPr>
            <w:r>
              <w:rPr>
                <w:b/>
                <w:lang w:val="ru-RU"/>
              </w:rPr>
              <w:t>Місце</w:t>
            </w:r>
          </w:p>
        </w:tc>
        <w:tc>
          <w:tcPr>
            <w:tcW w:w="6486" w:type="dxa"/>
          </w:tcPr>
          <w:p>
            <w:pPr>
              <w:jc w:val="both"/>
              <w:rPr>
                <w:b/>
                <w:bCs/>
                <w:lang w:val="ru-RU"/>
              </w:rPr>
            </w:pPr>
            <w:r>
              <w:t>Львівський національний університет імені І. Франка, кафедра міжкультурної комунікації та перекладу (м. Львів, вул. Університетська, 1, каб. 417)</w:t>
            </w:r>
          </w:p>
          <w:p>
            <w:pPr>
              <w:jc w:val="both"/>
              <w:rPr>
                <w:b/>
                <w:bCs/>
                <w:lang w:val="ru-RU"/>
              </w:rPr>
            </w:pPr>
            <w:r>
              <w:rPr>
                <w:rFonts w:ascii="Helvetica Neue" w:hAnsi="Helvetica Neue" w:eastAsia="Helvetica Neue" w:cs="Helvetica Neue"/>
                <w:sz w:val="19"/>
                <w:szCs w:val="19"/>
                <w:lang w:val="de-DE"/>
              </w:rPr>
              <w:t>онлайн:</w:t>
            </w:r>
            <w:r>
              <w:fldChar w:fldCharType="begin"/>
            </w:r>
            <w:r>
              <w:instrText xml:space="preserve"> HYPERLINK "https://us04web.zoom.us/j/71096418412?pwd=SjNBdU05ZEQ5ZnlTMlhWemEzVkR4UT09" \h </w:instrText>
            </w:r>
            <w:r>
              <w:fldChar w:fldCharType="separate"/>
            </w:r>
            <w:r>
              <w:rPr>
                <w:rStyle w:val="14"/>
                <w:rFonts w:ascii="Helvetica Neue" w:hAnsi="Helvetica Neue" w:eastAsia="Helvetica Neue" w:cs="Helvetica Neue"/>
                <w:sz w:val="19"/>
                <w:szCs w:val="19"/>
                <w:lang w:val="de-DE"/>
              </w:rPr>
              <w:t>https://us04web.zoom.us/j/71096418412?pwd=SjNBdU05ZEQ5ZnlTMlhWemEzVkR4UT09</w:t>
            </w:r>
            <w:r>
              <w:rPr>
                <w:rStyle w:val="14"/>
                <w:rFonts w:ascii="Helvetica Neue" w:hAnsi="Helvetica Neue" w:eastAsia="Helvetica Neue" w:cs="Helvetica Neue"/>
                <w:sz w:val="19"/>
                <w:szCs w:val="19"/>
                <w:lang w:val="de-DE"/>
              </w:rPr>
              <w:fldChar w:fldCharType="end"/>
            </w:r>
          </w:p>
          <w:p>
            <w:pPr>
              <w:jc w:val="both"/>
              <w:rPr>
                <w:rFonts w:ascii="Times New Roman" w:hAnsi="Times New Roman" w:eastAsia="Times New Roman" w:cs="Times New Roman"/>
                <w:sz w:val="24"/>
                <w:szCs w:val="24"/>
                <w:lang w:val="ru-RU"/>
              </w:rPr>
            </w:pPr>
          </w:p>
        </w:tc>
      </w:tr>
    </w:tbl>
    <w:p>
      <w:pPr>
        <w:jc w:val="center"/>
        <w:rPr>
          <w:b/>
          <w:lang w:val="ru-RU"/>
        </w:rPr>
      </w:pPr>
    </w:p>
    <w:p>
      <w:pPr>
        <w:jc w:val="center"/>
        <w:rPr>
          <w:b/>
          <w:lang w:val="ru-RU"/>
        </w:rPr>
      </w:pPr>
      <w:r>
        <w:rPr>
          <w:b/>
          <w:lang w:val="ru-RU"/>
        </w:rPr>
        <w:t>ІНФОРМАЦІЯ ПРО КУРС</w:t>
      </w:r>
    </w:p>
    <w:tbl>
      <w:tblPr>
        <w:tblStyle w:val="16"/>
        <w:tblW w:w="878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0974"/>
      </w:tblGrid>
      <w:tr>
        <w:tc>
          <w:tcPr>
            <w:tcW w:w="2694" w:type="dxa"/>
          </w:tcPr>
          <w:p>
            <w:pPr>
              <w:jc w:val="both"/>
              <w:rPr>
                <w:b/>
                <w:lang w:val="ru-RU"/>
              </w:rPr>
            </w:pPr>
            <w:r>
              <w:rPr>
                <w:b/>
                <w:lang w:val="ru-RU"/>
              </w:rPr>
              <w:t>Сторінка курсу</w:t>
            </w:r>
          </w:p>
        </w:tc>
        <w:tc>
          <w:tcPr>
            <w:tcW w:w="7229" w:type="dxa"/>
          </w:tcPr>
          <w:p>
            <w:pPr>
              <w:jc w:val="both"/>
            </w:pPr>
            <w:r>
              <w:fldChar w:fldCharType="begin"/>
            </w:r>
            <w:r>
              <w:instrText xml:space="preserve"> HYPERLINK "https://lingua.lnu.edu.ua/course/pereklad-riznozhanrovyh-tekstiv" </w:instrText>
            </w:r>
            <w:r>
              <w:fldChar w:fldCharType="separate"/>
            </w:r>
            <w:r>
              <w:rPr>
                <w:rStyle w:val="14"/>
              </w:rPr>
              <w:t>https://lingua.lnu.edu.ua/course/pereklad-riznozhanrovyh-tekstiv</w:t>
            </w:r>
            <w:r>
              <w:rPr>
                <w:rStyle w:val="14"/>
              </w:rPr>
              <w:fldChar w:fldCharType="end"/>
            </w:r>
          </w:p>
        </w:tc>
      </w:tr>
      <w:tr>
        <w:tc>
          <w:tcPr>
            <w:tcW w:w="2694" w:type="dxa"/>
          </w:tcPr>
          <w:p>
            <w:pPr>
              <w:rPr>
                <w:b/>
                <w:lang w:val="ru-RU"/>
              </w:rPr>
            </w:pPr>
            <w:r>
              <w:rPr>
                <w:b/>
              </w:rPr>
              <w:t>Коротка анотація курсу</w:t>
            </w:r>
          </w:p>
        </w:tc>
        <w:tc>
          <w:tcPr>
            <w:tcW w:w="7229" w:type="dxa"/>
          </w:tcPr>
          <w:p>
            <w:pPr>
              <w:jc w:val="both"/>
              <w:rPr>
                <w:b/>
                <w:lang w:val="ru-RU"/>
              </w:rPr>
            </w:pPr>
            <w:r>
              <w:t>Дисципліна «Переклад різножанрових текстів» є вибірковою дисципліною зі спеціальності 035 Філологія для освітньої програми ОС «бакалавр», яка викладається в 3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rPr>
                <w:b/>
                <w:lang w:val="ru-RU"/>
              </w:rPr>
            </w:pPr>
            <w:r>
              <w:rPr>
                <w:b/>
              </w:rPr>
              <w:t>Мета та цілі курсу</w:t>
            </w:r>
          </w:p>
        </w:tc>
        <w:tc>
          <w:tcPr>
            <w:tcW w:w="7229" w:type="dxa"/>
          </w:tcPr>
          <w:p>
            <w:pPr>
              <w:tabs>
                <w:tab w:val="left" w:pos="284"/>
                <w:tab w:val="left" w:pos="567"/>
              </w:tabs>
              <w:jc w:val="both"/>
              <w:rPr>
                <w:rFonts w:eastAsia="Calibri"/>
              </w:rPr>
            </w:pPr>
            <w:r>
              <w:rPr>
                <w:b/>
                <w:i/>
              </w:rPr>
              <w:t>Мета</w:t>
            </w:r>
            <w:r>
              <w:t xml:space="preserve"> курсу – </w:t>
            </w:r>
            <w:r>
              <w:rPr>
                <w:rFonts w:eastAsia="Calibri"/>
              </w:rPr>
              <w:t>формування базових навичок із жанрової характеристики текстів, випрацювання навичок ідентифікації конкретного типу тексту та його жанру та застосування адекватних методів і прийомів його перекладу.</w:t>
            </w:r>
          </w:p>
          <w:p>
            <w:pPr>
              <w:pStyle w:val="26"/>
              <w:widowControl w:val="0"/>
              <w:rPr>
                <w:spacing w:val="-15"/>
                <w:sz w:val="28"/>
                <w:szCs w:val="28"/>
              </w:rPr>
            </w:pPr>
            <w:r>
              <w:t xml:space="preserve">Основне </w:t>
            </w:r>
            <w:r>
              <w:rPr>
                <w:b/>
                <w:i/>
              </w:rPr>
              <w:t>завдання</w:t>
            </w:r>
            <w:r>
              <w:t xml:space="preserve"> </w:t>
            </w:r>
            <w:r>
              <w:rPr>
                <w:rFonts w:eastAsia="Calibri"/>
                <w:lang w:eastAsia="en-US"/>
              </w:rPr>
              <w:t>курсу – сформувати уявлення про сучасні жанрові теорії перекладу, специфіку організації тексту та його передачі іншою мовою, навчити прийомів перекладу конкретних мовно-мовленнєвих жанрів.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rPr>
                <w:b/>
              </w:rPr>
            </w:pPr>
            <w:r>
              <w:rPr>
                <w:b/>
              </w:rPr>
              <w:t>Література для вивчення дисципліни</w:t>
            </w:r>
          </w:p>
        </w:tc>
        <w:tc>
          <w:tcPr>
            <w:tcW w:w="7229" w:type="dxa"/>
          </w:tcPr>
          <w:p>
            <w:pPr>
              <w:jc w:val="center"/>
              <w:rPr>
                <w:b/>
                <w:bCs/>
                <w:i/>
                <w:spacing w:val="-6"/>
              </w:rPr>
            </w:pPr>
            <w:r>
              <w:rPr>
                <w:b/>
                <w:bCs/>
                <w:i/>
                <w:spacing w:val="-6"/>
              </w:rPr>
              <w:t>Основна</w:t>
            </w:r>
          </w:p>
          <w:p>
            <w:pPr>
              <w:pStyle w:val="24"/>
              <w:numPr>
                <w:ilvl w:val="3"/>
                <w:numId w:val="1"/>
              </w:numPr>
              <w:spacing w:after="23"/>
              <w:ind w:left="374"/>
              <w:rPr>
                <w:lang w:val="de-DE"/>
              </w:rPr>
            </w:pPr>
            <w:r>
              <w:rPr>
                <w:lang w:val="de-DE"/>
              </w:rPr>
              <w:t xml:space="preserve">Brinker K. Linguistische Textanalyse. Eine Einführung in Grundbegriffe und Methoden. – Berlin: Schmidt Verlag, 2010. – 160 S.  </w:t>
            </w:r>
          </w:p>
          <w:p>
            <w:pPr>
              <w:pStyle w:val="24"/>
              <w:numPr>
                <w:ilvl w:val="3"/>
                <w:numId w:val="1"/>
              </w:numPr>
              <w:spacing w:after="23"/>
              <w:ind w:left="374"/>
              <w:rPr>
                <w:lang w:val="de-DE"/>
              </w:rPr>
            </w:pPr>
            <w:r>
              <w:rPr>
                <w:lang w:val="de-DE"/>
              </w:rPr>
              <w:t>Fandrytsch Ch., Thurmair, M. Textsorten im Deutschen. Linguistische Analysen aus sprachdidaktischer Sicht. – Tübingen: Stauffenburg, 2011. – 379 S.</w:t>
            </w:r>
          </w:p>
          <w:p>
            <w:pPr>
              <w:pStyle w:val="24"/>
              <w:numPr>
                <w:ilvl w:val="3"/>
                <w:numId w:val="1"/>
              </w:numPr>
              <w:spacing w:after="23"/>
              <w:ind w:left="374"/>
              <w:rPr>
                <w:lang w:val="de-DE"/>
              </w:rPr>
            </w:pPr>
            <w:r>
              <w:rPr>
                <w:lang w:val="de-DE"/>
              </w:rPr>
              <w:t>Nord C. Fertigkeit Übersetzen. Ein Kurs zum Übersetzenlehren und–lernen. – Berlin: BDÜ Fachverlag, 2010. – 245 S.</w:t>
            </w:r>
          </w:p>
          <w:p>
            <w:pPr>
              <w:pStyle w:val="24"/>
              <w:numPr>
                <w:ilvl w:val="3"/>
                <w:numId w:val="1"/>
              </w:numPr>
              <w:spacing w:after="23"/>
              <w:ind w:left="374"/>
              <w:rPr>
                <w:lang w:val="de-DE"/>
              </w:rPr>
            </w:pPr>
            <w:r>
              <w:rPr>
                <w:lang w:val="de-DE"/>
              </w:rPr>
              <w:t>Honig H. G., Kußmaul P. Strategie der Übersetzung. Ein Lehr- und Arbeitsbuch. – Tübingen: Narr, 1996. – 236 S.</w:t>
            </w:r>
          </w:p>
          <w:p>
            <w:pPr>
              <w:pStyle w:val="24"/>
              <w:spacing w:after="23"/>
              <w:ind w:left="14"/>
              <w:rPr>
                <w:lang w:val="de-DE"/>
              </w:rPr>
            </w:pPr>
          </w:p>
          <w:p>
            <w:pPr>
              <w:jc w:val="center"/>
              <w:rPr>
                <w:b/>
                <w:bCs/>
                <w:i/>
                <w:spacing w:val="-6"/>
              </w:rPr>
            </w:pPr>
            <w:r>
              <w:rPr>
                <w:b/>
                <w:bCs/>
                <w:i/>
                <w:spacing w:val="-6"/>
              </w:rPr>
              <w:t>Додаткова</w:t>
            </w:r>
          </w:p>
          <w:p>
            <w:pPr>
              <w:pStyle w:val="24"/>
              <w:spacing w:after="23"/>
              <w:ind w:left="374"/>
              <w:rPr>
                <w:lang w:val="de-DE"/>
              </w:rPr>
            </w:pPr>
          </w:p>
          <w:p>
            <w:pPr>
              <w:pStyle w:val="24"/>
              <w:numPr>
                <w:ilvl w:val="0"/>
                <w:numId w:val="2"/>
              </w:numPr>
              <w:spacing w:after="23"/>
              <w:ind w:left="321" w:hanging="284"/>
              <w:rPr>
                <w:lang w:val="de-DE"/>
              </w:rPr>
            </w:pPr>
            <w:r>
              <w:rPr>
                <w:lang w:val="de-DE"/>
              </w:rPr>
              <w:t>Бацевич Ф. Лінгвістична генологія: проблеми і перспективи: монографія. – Львів: ПАІС, 2005.</w:t>
            </w:r>
          </w:p>
          <w:p>
            <w:pPr>
              <w:pStyle w:val="24"/>
              <w:numPr>
                <w:ilvl w:val="0"/>
                <w:numId w:val="2"/>
              </w:numPr>
              <w:spacing w:after="23"/>
              <w:ind w:left="321" w:hanging="284"/>
              <w:rPr>
                <w:lang w:val="de-DE"/>
              </w:rPr>
            </w:pPr>
            <w:r>
              <w:rPr>
                <w:lang w:val="de-DE"/>
              </w:rPr>
              <w:t>Вежбицкая А. Речевые жанры // Жанры речи. – Саратов: Изд-во ГосУНЦ «Колледж», 1997. – С. 99-111.</w:t>
            </w:r>
          </w:p>
          <w:p>
            <w:pPr>
              <w:pStyle w:val="24"/>
              <w:numPr>
                <w:ilvl w:val="0"/>
                <w:numId w:val="2"/>
              </w:numPr>
              <w:spacing w:after="23"/>
              <w:ind w:left="321" w:hanging="284"/>
              <w:rPr>
                <w:lang w:val="de-DE"/>
              </w:rPr>
            </w:pPr>
            <w:r>
              <w:rPr>
                <w:lang w:val="de-DE"/>
              </w:rPr>
              <w:t>Шмелева Т. В. Модель речевого жанра // Жанры речи. Саратов: Изд-во ГосУНЦ «Колледж», 1997. – Вып. 1. – С. 88-99.</w:t>
            </w:r>
          </w:p>
          <w:p>
            <w:pPr>
              <w:pStyle w:val="24"/>
              <w:numPr>
                <w:ilvl w:val="0"/>
                <w:numId w:val="2"/>
              </w:numPr>
              <w:spacing w:after="23"/>
              <w:ind w:left="321" w:hanging="284"/>
              <w:rPr>
                <w:lang w:val="de-DE"/>
              </w:rPr>
            </w:pPr>
            <w:r>
              <w:rPr>
                <w:lang w:val="de-DE"/>
              </w:rPr>
              <w:t>Зимомря М. І., Білоус О. М. Художній переклад – шляхи аналізу. – К., 2001.</w:t>
            </w:r>
          </w:p>
          <w:p>
            <w:pPr>
              <w:pStyle w:val="24"/>
              <w:numPr>
                <w:ilvl w:val="0"/>
                <w:numId w:val="2"/>
              </w:numPr>
              <w:spacing w:after="23"/>
              <w:ind w:left="321" w:hanging="284"/>
              <w:rPr>
                <w:lang w:val="de-DE"/>
              </w:rPr>
            </w:pPr>
            <w:r>
              <w:rPr>
                <w:lang w:val="de-DE"/>
              </w:rPr>
              <w:t>Кияк Т. Р., Науменко А. М., Огуй О. Д. Теорія і практика перекладу німецької мови. – Вінниця: Нова книга, 2006. – 596 с.</w:t>
            </w:r>
          </w:p>
          <w:p>
            <w:pPr>
              <w:pStyle w:val="24"/>
              <w:numPr>
                <w:ilvl w:val="0"/>
                <w:numId w:val="2"/>
              </w:numPr>
              <w:spacing w:after="23"/>
              <w:ind w:left="321" w:hanging="284"/>
              <w:rPr>
                <w:lang w:val="de-DE"/>
              </w:rPr>
            </w:pPr>
            <w:r>
              <w:rPr>
                <w:lang w:val="de-DE"/>
              </w:rPr>
              <w:t>Fleck K. E. W. Urkundenübersetzung // Snell-Hornby M. Handbuch Translation. – Tübingen : Schauffenburg Verlag</w:t>
            </w:r>
            <w:r>
              <w:t>, 2004</w:t>
            </w:r>
            <w:r>
              <w:rPr>
                <w:lang w:val="de-DE"/>
              </w:rPr>
              <w:t>. – S. 230–234.</w:t>
            </w:r>
          </w:p>
          <w:p>
            <w:pPr>
              <w:ind w:left="374"/>
              <w:rPr>
                <w:bCs/>
                <w:spacing w:val="-6"/>
              </w:rPr>
            </w:pPr>
          </w:p>
          <w:p>
            <w:pPr>
              <w:jc w:val="center"/>
              <w:rPr>
                <w:b/>
                <w:bCs/>
                <w:i/>
                <w:spacing w:val="-6"/>
              </w:rPr>
            </w:pPr>
            <w:r>
              <w:rPr>
                <w:b/>
                <w:bCs/>
                <w:i/>
                <w:spacing w:val="-6"/>
              </w:rPr>
              <w:t>Інтернет-ресурси</w:t>
            </w:r>
          </w:p>
          <w:p>
            <w:pPr>
              <w:jc w:val="both"/>
              <w:rPr>
                <w:bCs/>
                <w:spacing w:val="-6"/>
              </w:rPr>
            </w:pPr>
            <w:r>
              <w:fldChar w:fldCharType="begin"/>
            </w:r>
            <w:r>
              <w:instrText xml:space="preserve"> HYPERLINK "http://conf.uni-ruse.bg/bg/docs/cp10/6.3/6.3-23.pdf" </w:instrText>
            </w:r>
            <w:r>
              <w:fldChar w:fldCharType="separate"/>
            </w:r>
            <w:r>
              <w:rPr>
                <w:rStyle w:val="14"/>
                <w:bCs/>
                <w:spacing w:val="-6"/>
              </w:rPr>
              <w:t>http://conf.uni-ruse.bg/bg/docs/cp10/6.3/6.3-23.pdf</w:t>
            </w:r>
            <w:r>
              <w:rPr>
                <w:rStyle w:val="14"/>
                <w:bCs/>
                <w:spacing w:val="-6"/>
              </w:rPr>
              <w:fldChar w:fldCharType="end"/>
            </w:r>
          </w:p>
          <w:p>
            <w:pPr>
              <w:jc w:val="both"/>
              <w:rPr>
                <w:bCs/>
                <w:spacing w:val="-6"/>
              </w:rPr>
            </w:pPr>
            <w:r>
              <w:fldChar w:fldCharType="begin"/>
            </w:r>
            <w:r>
              <w:instrText xml:space="preserve"> HYPERLINK "http://translationconcepts.org/pdf/texttypologie_translation.pdf" </w:instrText>
            </w:r>
            <w:r>
              <w:fldChar w:fldCharType="separate"/>
            </w:r>
            <w:r>
              <w:rPr>
                <w:rStyle w:val="14"/>
                <w:bCs/>
                <w:spacing w:val="-6"/>
              </w:rPr>
              <w:t>http://translationconcepts.org/pdf/texttypologie_translation.pdf</w:t>
            </w:r>
            <w:r>
              <w:rPr>
                <w:rStyle w:val="14"/>
                <w:bCs/>
                <w:spacing w:val="-6"/>
              </w:rPr>
              <w:fldChar w:fldCharType="end"/>
            </w:r>
          </w:p>
          <w:p>
            <w:pPr>
              <w:jc w:val="both"/>
              <w:rPr>
                <w:bCs/>
                <w:spacing w:val="-6"/>
              </w:rPr>
            </w:pPr>
            <w:r>
              <w:fldChar w:fldCharType="begin"/>
            </w:r>
            <w:r>
              <w:instrText xml:space="preserve"> HYPERLINK "https://core.ac.uk/download/pdf/11599889.pdf" </w:instrText>
            </w:r>
            <w:r>
              <w:fldChar w:fldCharType="separate"/>
            </w:r>
            <w:r>
              <w:rPr>
                <w:rStyle w:val="14"/>
                <w:bCs/>
                <w:spacing w:val="-6"/>
              </w:rPr>
              <w:t>https://core.ac.uk/download/pdf/11599889.pdf</w:t>
            </w:r>
            <w:r>
              <w:rPr>
                <w:rStyle w:val="14"/>
                <w:bCs/>
                <w:spacing w:val="-6"/>
              </w:rPr>
              <w:fldChar w:fldCharType="end"/>
            </w:r>
          </w:p>
          <w:p>
            <w:pPr>
              <w:jc w:val="both"/>
              <w:rPr>
                <w:bCs/>
                <w:spacing w:val="-6"/>
              </w:rPr>
            </w:pPr>
            <w:r>
              <w:fldChar w:fldCharType="begin"/>
            </w:r>
            <w:r>
              <w:instrText xml:space="preserve"> HYPERLINK "http://www.carstensinner.de/Lehre/uebersetzungswissenschaft/Dossiers2014/4b_Skopostheorie_Sebastian_Raskop.pdf" </w:instrText>
            </w:r>
            <w:r>
              <w:fldChar w:fldCharType="separate"/>
            </w:r>
            <w:r>
              <w:rPr>
                <w:rStyle w:val="14"/>
                <w:bCs/>
                <w:spacing w:val="-6"/>
              </w:rPr>
              <w:t>http://www.carstensinner.de/Lehre/uebersetzungswissenschaft/Dossiers2014/4b_Skopostheorie_Sebastian_Raskop.pdf</w:t>
            </w:r>
            <w:r>
              <w:rPr>
                <w:rStyle w:val="14"/>
                <w:bCs/>
                <w:spacing w:val="-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jc w:val="both"/>
              <w:rPr>
                <w:b/>
              </w:rPr>
            </w:pPr>
            <w:r>
              <w:rPr>
                <w:b/>
              </w:rPr>
              <w:t>Тривалість курсу</w:t>
            </w:r>
          </w:p>
        </w:tc>
        <w:tc>
          <w:tcPr>
            <w:tcW w:w="7229" w:type="dxa"/>
          </w:tcPr>
          <w:p>
            <w:pPr>
              <w:jc w:val="both"/>
            </w:pPr>
            <w:r>
              <w:t>Один семестр (3),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jc w:val="both"/>
              <w:rPr>
                <w:b/>
              </w:rPr>
            </w:pPr>
            <w:r>
              <w:rPr>
                <w:b/>
              </w:rPr>
              <w:t>Обсяг курсу</w:t>
            </w:r>
          </w:p>
        </w:tc>
        <w:tc>
          <w:tcPr>
            <w:tcW w:w="7229" w:type="dxa"/>
          </w:tcPr>
          <w:p>
            <w:pPr>
              <w:jc w:val="both"/>
              <w:rPr>
                <w:lang w:val="ru-RU"/>
              </w:rPr>
            </w:pPr>
            <w:r>
              <w:t>Загальна кількість годин – 90</w:t>
            </w:r>
            <w:r>
              <w:rPr>
                <w:lang w:val="ru-RU"/>
              </w:rPr>
              <w:t>.</w:t>
            </w:r>
          </w:p>
          <w:p>
            <w:pPr>
              <w:jc w:val="both"/>
            </w:pPr>
            <w:r>
              <w:t xml:space="preserve">32 години аудиторних занять, з них </w:t>
            </w:r>
            <w:r>
              <w:rPr>
                <w:lang w:val="ru-RU"/>
              </w:rPr>
              <w:t>16</w:t>
            </w:r>
            <w:r>
              <w:t xml:space="preserve"> годин лекцій, </w:t>
            </w:r>
            <w:r>
              <w:rPr>
                <w:lang w:val="ru-RU"/>
              </w:rPr>
              <w:t>16</w:t>
            </w:r>
            <w:r>
              <w:t xml:space="preserve">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jc w:val="both"/>
              <w:rPr>
                <w:b/>
              </w:rPr>
            </w:pPr>
            <w:r>
              <w:rPr>
                <w:b/>
              </w:rPr>
              <w:t>Очікувані результати навчання</w:t>
            </w:r>
          </w:p>
        </w:tc>
        <w:tc>
          <w:tcPr>
            <w:tcW w:w="7229" w:type="dxa"/>
          </w:tcPr>
          <w:p>
            <w:pPr>
              <w:tabs>
                <w:tab w:val="left" w:pos="284"/>
                <w:tab w:val="left" w:pos="567"/>
              </w:tabs>
              <w:jc w:val="both"/>
            </w:pPr>
            <w:r>
              <w:t xml:space="preserve">У результаті вивчення навчальної дисципліни студент має </w:t>
            </w:r>
            <w:r>
              <w:rPr>
                <w:b/>
                <w:i/>
              </w:rPr>
              <w:t>знати</w:t>
            </w:r>
            <w:r>
              <w:t>:</w:t>
            </w:r>
          </w:p>
          <w:p>
            <w:pPr>
              <w:pStyle w:val="8"/>
              <w:numPr>
                <w:ilvl w:val="0"/>
                <w:numId w:val="3"/>
              </w:numPr>
              <w:tabs>
                <w:tab w:val="clear" w:pos="4677"/>
                <w:tab w:val="clear" w:pos="9355"/>
              </w:tabs>
              <w:jc w:val="both"/>
            </w:pPr>
            <w:r>
              <w:t>базові поняття сучасних жанрових теорій перекладу: текст, тип тексту, жанр тексту, мовленнєвий жанр, інформативний текст, експресивний текст, оперативний текст; мовні особливості різножанрових текстів;</w:t>
            </w:r>
          </w:p>
          <w:p>
            <w:pPr>
              <w:pStyle w:val="8"/>
              <w:numPr>
                <w:ilvl w:val="0"/>
                <w:numId w:val="3"/>
              </w:numPr>
              <w:tabs>
                <w:tab w:val="clear" w:pos="4677"/>
                <w:tab w:val="clear" w:pos="9355"/>
              </w:tabs>
              <w:jc w:val="both"/>
            </w:pPr>
            <w:r>
              <w:t>прийоми лінгвостилістичного аналізу тексту;</w:t>
            </w:r>
          </w:p>
          <w:p>
            <w:pPr>
              <w:pStyle w:val="8"/>
              <w:numPr>
                <w:ilvl w:val="0"/>
                <w:numId w:val="3"/>
              </w:numPr>
              <w:tabs>
                <w:tab w:val="clear" w:pos="4677"/>
                <w:tab w:val="clear" w:pos="9355"/>
              </w:tabs>
              <w:jc w:val="both"/>
            </w:pPr>
            <w:r>
              <w:t>інваріантні моделі текстів різних типів і жанрів;</w:t>
            </w:r>
          </w:p>
          <w:p>
            <w:pPr>
              <w:pStyle w:val="8"/>
              <w:numPr>
                <w:ilvl w:val="0"/>
                <w:numId w:val="3"/>
              </w:numPr>
              <w:tabs>
                <w:tab w:val="clear" w:pos="4677"/>
                <w:tab w:val="clear" w:pos="9355"/>
              </w:tabs>
              <w:jc w:val="both"/>
            </w:pPr>
            <w:r>
              <w:t>техніку перекладу текстів різних типів і жанрів</w:t>
            </w:r>
          </w:p>
          <w:p>
            <w:pPr>
              <w:pStyle w:val="8"/>
              <w:tabs>
                <w:tab w:val="clear" w:pos="4677"/>
                <w:tab w:val="clear" w:pos="9355"/>
              </w:tabs>
              <w:ind w:left="360"/>
              <w:jc w:val="both"/>
              <w:rPr>
                <w:b/>
                <w:i/>
              </w:rPr>
            </w:pPr>
            <w:r>
              <w:rPr>
                <w:b/>
                <w:i/>
              </w:rPr>
              <w:t>вміти:</w:t>
            </w:r>
          </w:p>
          <w:p>
            <w:pPr>
              <w:pStyle w:val="8"/>
              <w:numPr>
                <w:ilvl w:val="0"/>
                <w:numId w:val="3"/>
              </w:numPr>
              <w:tabs>
                <w:tab w:val="clear" w:pos="4677"/>
                <w:tab w:val="clear" w:pos="9355"/>
              </w:tabs>
              <w:jc w:val="both"/>
            </w:pPr>
            <w:r>
              <w:t>розуміти головні терміни, процеси та закономірності сучасних жанрових теорій перекладу</w:t>
            </w:r>
          </w:p>
          <w:p>
            <w:pPr>
              <w:pStyle w:val="8"/>
              <w:numPr>
                <w:ilvl w:val="0"/>
                <w:numId w:val="3"/>
              </w:numPr>
              <w:tabs>
                <w:tab w:val="clear" w:pos="4677"/>
                <w:tab w:val="clear" w:pos="9355"/>
              </w:tabs>
              <w:jc w:val="both"/>
            </w:pPr>
            <w:r>
              <w:t>формулювати різножанрові повідомлення іноземною мовою, здатність до ідентифікації конкретних типів текстів</w:t>
            </w:r>
          </w:p>
          <w:p>
            <w:pPr>
              <w:pStyle w:val="8"/>
              <w:numPr>
                <w:ilvl w:val="0"/>
                <w:numId w:val="3"/>
              </w:numPr>
              <w:tabs>
                <w:tab w:val="clear" w:pos="4677"/>
                <w:tab w:val="clear" w:pos="9355"/>
              </w:tabs>
              <w:jc w:val="both"/>
            </w:pPr>
            <w:r>
              <w:t>спілкуватися німецькою мовою на рівні С1 у різножанрових повідомленнях;</w:t>
            </w:r>
          </w:p>
          <w:p>
            <w:pPr>
              <w:pStyle w:val="8"/>
              <w:numPr>
                <w:ilvl w:val="0"/>
                <w:numId w:val="3"/>
              </w:numPr>
              <w:tabs>
                <w:tab w:val="clear" w:pos="4677"/>
                <w:tab w:val="clear" w:pos="9355"/>
              </w:tabs>
              <w:jc w:val="both"/>
            </w:pPr>
            <w:r>
              <w:t>використовувати у практиці критики та перекладу текстів одержані теоретичні знання;</w:t>
            </w:r>
          </w:p>
          <w:p>
            <w:pPr>
              <w:pStyle w:val="8"/>
              <w:numPr>
                <w:ilvl w:val="0"/>
                <w:numId w:val="3"/>
              </w:numPr>
              <w:tabs>
                <w:tab w:val="clear" w:pos="4677"/>
                <w:tab w:val="clear" w:pos="9355"/>
              </w:tabs>
              <w:jc w:val="both"/>
            </w:pPr>
            <w:r>
              <w:t>добирати різножанрову лексику в вихідній та цільовій мові для досягнення комунікативного ефекту;</w:t>
            </w:r>
          </w:p>
          <w:p>
            <w:pPr>
              <w:pStyle w:val="8"/>
              <w:numPr>
                <w:ilvl w:val="0"/>
                <w:numId w:val="3"/>
              </w:numPr>
              <w:tabs>
                <w:tab w:val="clear" w:pos="4677"/>
                <w:tab w:val="clear" w:pos="9355"/>
              </w:tabs>
              <w:jc w:val="both"/>
            </w:pPr>
            <w:r>
              <w:t>розрізняти підходи до перекладу текстів різних типів і жанрів;</w:t>
            </w:r>
          </w:p>
          <w:p>
            <w:pPr>
              <w:pStyle w:val="8"/>
              <w:numPr>
                <w:ilvl w:val="0"/>
                <w:numId w:val="3"/>
              </w:numPr>
              <w:tabs>
                <w:tab w:val="clear" w:pos="4677"/>
                <w:tab w:val="clear" w:pos="9355"/>
              </w:tabs>
              <w:jc w:val="both"/>
            </w:pPr>
            <w:r>
              <w:t>моделювати процес відтворення специфіки конкретних жанрів тексту оригіналу засобами мови перекладу;</w:t>
            </w:r>
          </w:p>
          <w:p>
            <w:pPr>
              <w:pStyle w:val="8"/>
              <w:numPr>
                <w:ilvl w:val="0"/>
                <w:numId w:val="3"/>
              </w:numPr>
              <w:tabs>
                <w:tab w:val="clear" w:pos="4677"/>
                <w:tab w:val="clear" w:pos="9355"/>
              </w:tabs>
              <w:jc w:val="both"/>
            </w:pPr>
            <w:r>
              <w:t>послуговуватися теоретичними положеннями щодо жанрової специфіки текстів для їх застосування у практиці перекладу;</w:t>
            </w:r>
          </w:p>
          <w:p>
            <w:pPr>
              <w:pStyle w:val="8"/>
              <w:numPr>
                <w:ilvl w:val="0"/>
                <w:numId w:val="3"/>
              </w:numPr>
              <w:tabs>
                <w:tab w:val="clear" w:pos="4677"/>
                <w:tab w:val="clear" w:pos="9355"/>
              </w:tabs>
              <w:jc w:val="both"/>
            </w:pPr>
            <w:r>
              <w:t xml:space="preserve">вміти користуватись різними типами словників; </w:t>
            </w:r>
          </w:p>
          <w:p>
            <w:pPr>
              <w:pStyle w:val="8"/>
              <w:numPr>
                <w:ilvl w:val="0"/>
                <w:numId w:val="3"/>
              </w:numPr>
              <w:tabs>
                <w:tab w:val="clear" w:pos="4677"/>
                <w:tab w:val="clear" w:pos="9355"/>
              </w:tabs>
              <w:jc w:val="both"/>
            </w:pPr>
            <w:r>
              <w:t>адекватно перекладати тексти ділової комунікації та офіційно-ділового стилю з урахуванням мовно-стилістичних та жанрово-композиційних особливостей вихідної та цільової культур.</w:t>
            </w:r>
          </w:p>
          <w:p>
            <w:pPr>
              <w:pStyle w:val="8"/>
              <w:tabs>
                <w:tab w:val="clear" w:pos="4677"/>
                <w:tab w:val="clear" w:pos="9355"/>
              </w:tabs>
              <w:jc w:val="both"/>
            </w:pPr>
          </w:p>
        </w:tc>
      </w:tr>
      <w:tr>
        <w:tc>
          <w:tcPr>
            <w:tcW w:w="2694" w:type="dxa"/>
          </w:tcPr>
          <w:p>
            <w:pPr>
              <w:jc w:val="both"/>
              <w:rPr>
                <w:b/>
              </w:rPr>
            </w:pPr>
            <w:r>
              <w:rPr>
                <w:b/>
              </w:rPr>
              <w:t>Ключові слова</w:t>
            </w:r>
          </w:p>
        </w:tc>
        <w:tc>
          <w:tcPr>
            <w:tcW w:w="7229" w:type="dxa"/>
          </w:tcPr>
          <w:p>
            <w:pPr>
              <w:tabs>
                <w:tab w:val="left" w:pos="284"/>
                <w:tab w:val="left" w:pos="567"/>
              </w:tabs>
              <w:jc w:val="both"/>
            </w:pPr>
            <w:r>
              <w:t>текст, тип тексту, жанр тексту, жанрологія, генологія, переклад.</w:t>
            </w:r>
          </w:p>
        </w:tc>
      </w:tr>
      <w:tr>
        <w:tc>
          <w:tcPr>
            <w:tcW w:w="2694" w:type="dxa"/>
          </w:tcPr>
          <w:p>
            <w:pPr>
              <w:jc w:val="both"/>
              <w:rPr>
                <w:b/>
              </w:rPr>
            </w:pPr>
            <w:r>
              <w:rPr>
                <w:b/>
              </w:rPr>
              <w:t>Формат курсу</w:t>
            </w:r>
          </w:p>
        </w:tc>
        <w:tc>
          <w:tcPr>
            <w:tcW w:w="7229" w:type="dxa"/>
          </w:tcPr>
          <w:p>
            <w:pPr>
              <w:tabs>
                <w:tab w:val="left" w:pos="284"/>
                <w:tab w:val="left" w:pos="567"/>
              </w:tabs>
              <w:jc w:val="both"/>
            </w:pPr>
            <w:r>
              <w:t>Очний, онлайн</w:t>
            </w:r>
          </w:p>
        </w:tc>
      </w:tr>
      <w:tr>
        <w:tc>
          <w:tcPr>
            <w:tcW w:w="2694" w:type="dxa"/>
          </w:tcPr>
          <w:p>
            <w:pPr>
              <w:jc w:val="both"/>
              <w:rPr>
                <w:b/>
              </w:rPr>
            </w:pPr>
          </w:p>
        </w:tc>
        <w:tc>
          <w:tcPr>
            <w:tcW w:w="7229" w:type="dxa"/>
          </w:tcPr>
          <w:p>
            <w:pPr>
              <w:tabs>
                <w:tab w:val="left" w:pos="284"/>
                <w:tab w:val="left" w:pos="567"/>
              </w:tabs>
              <w:jc w:val="both"/>
            </w:pPr>
            <w:r>
              <w:t>Проведення лекцій, практичних занять і консультацій, виконання самостійної роботи для кращого розуміння тем.</w:t>
            </w:r>
          </w:p>
        </w:tc>
      </w:tr>
      <w:tr>
        <w:tc>
          <w:tcPr>
            <w:tcW w:w="2694" w:type="dxa"/>
          </w:tcPr>
          <w:p>
            <w:pPr>
              <w:jc w:val="both"/>
              <w:rPr>
                <w:b/>
              </w:rPr>
            </w:pPr>
            <w:r>
              <w:rPr>
                <w:b/>
              </w:rPr>
              <w:t>Теми</w:t>
            </w:r>
          </w:p>
        </w:tc>
        <w:tc>
          <w:tcPr>
            <w:tcW w:w="7229" w:type="dxa"/>
          </w:tcPr>
          <w:p>
            <w:pPr>
              <w:tabs>
                <w:tab w:val="left" w:pos="284"/>
                <w:tab w:val="left" w:pos="567"/>
              </w:tabs>
              <w:jc w:val="both"/>
            </w:pPr>
            <w:r>
              <w:t>Згідно зі СХЕМОЮ КУРСУ (додається)</w:t>
            </w:r>
          </w:p>
        </w:tc>
      </w:tr>
      <w:tr>
        <w:tc>
          <w:tcPr>
            <w:tcW w:w="2694" w:type="dxa"/>
          </w:tcPr>
          <w:p>
            <w:pPr>
              <w:jc w:val="both"/>
              <w:rPr>
                <w:b/>
              </w:rPr>
            </w:pPr>
            <w:r>
              <w:rPr>
                <w:b/>
              </w:rPr>
              <w:t>Підсумковий контроль</w:t>
            </w:r>
          </w:p>
        </w:tc>
        <w:tc>
          <w:tcPr>
            <w:tcW w:w="7229" w:type="dxa"/>
          </w:tcPr>
          <w:p>
            <w:pPr>
              <w:tabs>
                <w:tab w:val="left" w:pos="284"/>
                <w:tab w:val="left" w:pos="567"/>
              </w:tabs>
              <w:jc w:val="both"/>
            </w:pPr>
            <w:r>
              <w:t>Залік в кінці семестру</w:t>
            </w:r>
          </w:p>
          <w:p>
            <w:pPr>
              <w:tabs>
                <w:tab w:val="left" w:pos="284"/>
                <w:tab w:val="left" w:pos="567"/>
              </w:tabs>
              <w:jc w:val="both"/>
            </w:pPr>
            <w:r>
              <w:t xml:space="preserve">Виставляється автоматично на підставі врахування поточної успішності протягом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jc w:val="both"/>
              <w:rPr>
                <w:b/>
              </w:rPr>
            </w:pPr>
            <w:r>
              <w:rPr>
                <w:b/>
              </w:rPr>
              <w:t>Пререквізити</w:t>
            </w:r>
          </w:p>
        </w:tc>
        <w:tc>
          <w:tcPr>
            <w:tcW w:w="7229" w:type="dxa"/>
          </w:tcPr>
          <w:p>
            <w:pPr>
              <w:tabs>
                <w:tab w:val="left" w:pos="284"/>
                <w:tab w:val="left" w:pos="567"/>
              </w:tabs>
              <w:jc w:val="both"/>
            </w:pPr>
            <w:r>
              <w:t xml:space="preserve">Для вивчення курсу студенти потребують базових знань з таких дисциплін: «Перша іноземна мова», «Українська мова», «Вступ до мовознавства», достатніх для сприйняття категоріального апарату в рамках дисципліни «Переклад різножанрових текстів».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rPr>
                <w:b/>
              </w:rPr>
            </w:pPr>
            <w:r>
              <w:rPr>
                <w:b/>
              </w:rPr>
              <w:t>Навчальні методи та техніки, які будуть використовуватися під час викладання курсу</w:t>
            </w:r>
          </w:p>
        </w:tc>
        <w:tc>
          <w:tcPr>
            <w:tcW w:w="7229" w:type="dxa"/>
          </w:tcPr>
          <w:p>
            <w:pPr>
              <w:tabs>
                <w:tab w:val="left" w:pos="284"/>
                <w:tab w:val="left" w:pos="567"/>
              </w:tabs>
              <w:jc w:val="both"/>
            </w:pPr>
            <w:r>
              <w:t>Під час викладання навчальної дисципліни підлягають використанню методи, спрямовані на:</w:t>
            </w:r>
          </w:p>
          <w:p>
            <w:pPr>
              <w:tabs>
                <w:tab w:val="left" w:pos="284"/>
                <w:tab w:val="left" w:pos="567"/>
              </w:tabs>
              <w:jc w:val="both"/>
            </w:pPr>
            <w:r>
              <w:t>-</w:t>
            </w:r>
            <w:r>
              <w:tab/>
            </w:r>
            <w:r>
              <w:t>формування у студентів інтересу до пізнавальної діяльності і відповідальності за навчальну працю;</w:t>
            </w:r>
          </w:p>
          <w:p>
            <w:pPr>
              <w:tabs>
                <w:tab w:val="left" w:pos="284"/>
                <w:tab w:val="left" w:pos="567"/>
              </w:tabs>
              <w:jc w:val="both"/>
            </w:pPr>
            <w:r>
              <w:t>-</w:t>
            </w:r>
            <w:r>
              <w:tab/>
            </w:r>
            <w:r>
              <w:t>забезпечення мисленнєвої діяльності (індуктивного, дедуктивного, репродуктивного й пошукового характеру);</w:t>
            </w:r>
          </w:p>
          <w:p>
            <w:pPr>
              <w:tabs>
                <w:tab w:val="left" w:pos="284"/>
                <w:tab w:val="left" w:pos="567"/>
              </w:tabs>
              <w:jc w:val="both"/>
            </w:pPr>
            <w:r>
              <w:t>-</w:t>
            </w:r>
            <w:r>
              <w:tab/>
            </w:r>
            <w:r>
              <w:t xml:space="preserve">методи, пов’язані з контролем за навчальною діяльністю студентів. </w:t>
            </w:r>
          </w:p>
          <w:p>
            <w:pPr>
              <w:tabs>
                <w:tab w:val="left" w:pos="284"/>
                <w:tab w:val="left" w:pos="567"/>
              </w:tabs>
              <w:jc w:val="both"/>
            </w:pPr>
            <w: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rPr>
                <w:b/>
              </w:rPr>
            </w:pPr>
            <w:r>
              <w:rPr>
                <w:b/>
              </w:rPr>
              <w:t>Необхідне обладнання</w:t>
            </w:r>
          </w:p>
        </w:tc>
        <w:tc>
          <w:tcPr>
            <w:tcW w:w="7229" w:type="dxa"/>
          </w:tcPr>
          <w:p>
            <w:pPr>
              <w:tabs>
                <w:tab w:val="left" w:pos="284"/>
                <w:tab w:val="left" w:pos="567"/>
              </w:tabs>
              <w:jc w:val="both"/>
            </w:pPr>
            <w: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jc w:val="both"/>
              <w:rPr>
                <w:lang w:val="uk-UA"/>
              </w:rPr>
            </w:pPr>
            <w:r>
              <w:t>Для проведення аудиторних занять потрібні ноутбук, платформи ZOOM</w:t>
            </w:r>
            <w:r>
              <w:rPr>
                <w:lang w:val="uk-UA"/>
              </w:rPr>
              <w:t xml:space="preserve">, </w:t>
            </w:r>
            <w:r>
              <w:t>Teems,</w:t>
            </w:r>
            <w:r>
              <w:rPr>
                <w:lang w:val="uk-UA"/>
              </w:rPr>
              <w:t xml:space="preserve"> </w:t>
            </w:r>
            <w:r>
              <w:t>Moodle</w:t>
            </w:r>
            <w:r>
              <w:rPr>
                <w:lang w:val="uk-UA"/>
              </w:rPr>
              <w:t xml:space="preserve">; </w:t>
            </w:r>
            <w:r>
              <w:t>програми WORD</w:t>
            </w:r>
            <w:r>
              <w:rPr>
                <w:lang w:val="uk-UA"/>
              </w:rPr>
              <w:t xml:space="preserve">, </w:t>
            </w:r>
            <w:r>
              <w:t>Edupad</w:t>
            </w:r>
            <w:r>
              <w:rPr>
                <w:lang w:val="uk-UA"/>
              </w:rPr>
              <w:t xml:space="preserve"> </w:t>
            </w:r>
            <w:r>
              <w:t>etc</w:t>
            </w:r>
            <w:r>
              <w:rPr>
                <w:lang w:val="uk-UA"/>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rPr>
                <w:b/>
              </w:rPr>
            </w:pPr>
            <w:r>
              <w:rPr>
                <w:b/>
              </w:rPr>
              <w:t>Критерії оцінювання (окремо для кожного виду навчальної діяльності)</w:t>
            </w:r>
          </w:p>
        </w:tc>
        <w:tc>
          <w:tcPr>
            <w:tcW w:w="7229" w:type="dxa"/>
          </w:tcPr>
          <w:p>
            <w:pPr>
              <w:tabs>
                <w:tab w:val="left" w:pos="284"/>
                <w:tab w:val="left" w:pos="567"/>
              </w:tabs>
              <w:jc w:val="both"/>
            </w:pPr>
            <w: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jc w:val="both"/>
            </w:pPr>
            <w:r>
              <w:t xml:space="preserve">Бали нараховуються за наступним співвідношенням: </w:t>
            </w:r>
          </w:p>
          <w:p>
            <w:pPr>
              <w:jc w:val="both"/>
            </w:pPr>
            <w:r>
              <w:t>• практичні заняття: 50% семестрової оцінки; максимальна кількість балів – 50 балів;</w:t>
            </w:r>
          </w:p>
          <w:p>
            <w:pPr>
              <w:jc w:val="both"/>
            </w:pPr>
            <w:r>
              <w:t xml:space="preserve">• дві модульні контрольні роботи: 20% семестрової оцінки; максимальна кількість балів – 20 балів (2 х 10); </w:t>
            </w:r>
          </w:p>
          <w:p>
            <w:pPr>
              <w:jc w:val="both"/>
            </w:pPr>
            <w:r>
              <w:t>• відвідування аудиторних занять: 10% семестрової оцінки; максимальна кількість балів – 10 балів;</w:t>
            </w:r>
          </w:p>
          <w:p>
            <w:pPr>
              <w:jc w:val="both"/>
            </w:pPr>
            <w:r>
              <w:t xml:space="preserve">• самостійна робота: 20% семестрової оцінки; максимальна кількість балів – 20 балів. </w:t>
            </w:r>
          </w:p>
          <w:p>
            <w:pPr>
              <w:jc w:val="both"/>
            </w:pPr>
            <w:r>
              <w:t>Залік оформляється шляхом сумування одержаних студентом балів за усі види навчальної діяльності.</w:t>
            </w:r>
          </w:p>
          <w:p>
            <w:pPr>
              <w:tabs>
                <w:tab w:val="left" w:pos="284"/>
                <w:tab w:val="left" w:pos="567"/>
              </w:tabs>
              <w:jc w:val="both"/>
            </w:pPr>
            <w:r>
              <w:t>Підсумкова максимальна кількість балів – 100 балів.</w:t>
            </w:r>
          </w:p>
          <w:p>
            <w:pPr>
              <w:tabs>
                <w:tab w:val="left" w:pos="284"/>
                <w:tab w:val="left" w:pos="567"/>
              </w:tabs>
              <w:jc w:val="both"/>
            </w:pPr>
          </w:p>
          <w:p>
            <w:pPr>
              <w:pStyle w:val="7"/>
              <w:jc w:val="center"/>
              <w:rPr>
                <w:b/>
                <w:bCs/>
                <w:sz w:val="24"/>
                <w:lang w:val="uk-UA"/>
              </w:rPr>
            </w:pPr>
            <w:r>
              <w:rPr>
                <w:b/>
                <w:bCs/>
                <w:sz w:val="24"/>
                <w:lang w:val="uk-UA"/>
              </w:rPr>
              <w:t>Шкала оцінювання модульної контрольної роботи</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jc w:val="both"/>
            </w:pPr>
          </w:p>
          <w:p>
            <w:pPr>
              <w:tabs>
                <w:tab w:val="left" w:pos="284"/>
                <w:tab w:val="left" w:pos="567"/>
              </w:tabs>
              <w:jc w:val="both"/>
            </w:pPr>
            <w:r>
              <w:rPr>
                <w:b/>
              </w:rPr>
              <w:t>Самостійна робота студента</w:t>
            </w:r>
            <w: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«Контрастивна граматика». Зміст СРС з дисципліни «Контрастивна граматика»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jc w:val="both"/>
            </w:pPr>
            <w:r>
              <w:rPr>
                <w:b/>
              </w:rPr>
              <w:t>Академічна доброчесність</w:t>
            </w:r>
            <w: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jc w:val="both"/>
            </w:pPr>
            <w:r>
              <w:rPr>
                <w:b/>
              </w:rPr>
              <w:t>Відвідання занять</w:t>
            </w:r>
            <w:r>
              <w:t xml:space="preserve"> є важливою складовою навчання. Очікується, що всі студенти відвідають усі лекції і практичні заняття курсу</w:t>
            </w:r>
            <w:r>
              <w:rPr>
                <w:lang w:val="uk-UA"/>
              </w:rPr>
              <w:t xml:space="preserve"> (</w:t>
            </w:r>
            <w:r>
              <w:t>принагідно онлайн).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jc w:val="both"/>
            </w:pPr>
            <w:r>
              <w:rPr>
                <w:b/>
              </w:rPr>
              <w:t>Література</w:t>
            </w:r>
            <w: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jc w:val="both"/>
            </w:pPr>
            <w:r>
              <w:rPr>
                <w:b/>
              </w:rPr>
              <w:t>Політика виставлення балів</w:t>
            </w:r>
            <w: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списування та плагіат; несвоєчасне виконання поставленого завдання і т. ін. </w:t>
            </w:r>
          </w:p>
          <w:p>
            <w:pPr>
              <w:tabs>
                <w:tab w:val="left" w:pos="284"/>
                <w:tab w:val="left" w:pos="567"/>
              </w:tabs>
              <w:jc w:val="both"/>
            </w:pPr>
            <w:r>
              <w:rPr>
                <w:b/>
              </w:rPr>
              <w:t>Жодні форми порушення академічної доброчесності не толеруються</w:t>
            </w:r>
            <w:r>
              <w:t>.</w:t>
            </w:r>
          </w:p>
        </w:tc>
      </w:tr>
      <w:tr>
        <w:tc>
          <w:tcPr>
            <w:tcW w:w="2694" w:type="dxa"/>
          </w:tcPr>
          <w:p>
            <w:pPr>
              <w:rPr>
                <w:b/>
              </w:rPr>
            </w:pPr>
            <w:r>
              <w:rPr>
                <w:b/>
              </w:rPr>
              <w:t>Питання до заліку чи екзамену.</w:t>
            </w:r>
          </w:p>
        </w:tc>
        <w:tc>
          <w:tcPr>
            <w:tcW w:w="7229" w:type="dxa"/>
          </w:tcPr>
          <w:p>
            <w:pPr>
              <w:tabs>
                <w:tab w:val="left" w:pos="284"/>
                <w:tab w:val="left" w:pos="567"/>
              </w:tabs>
              <w:jc w:val="both"/>
              <w:rPr>
                <w:rFonts w:eastAsia="TimesNewRoman"/>
                <w:lang w:eastAsia="uk-UA"/>
              </w:rPr>
            </w:pPr>
          </w:p>
        </w:tc>
      </w:tr>
      <w:tr>
        <w:tc>
          <w:tcPr>
            <w:tcW w:w="2694" w:type="dxa"/>
          </w:tcPr>
          <w:p>
            <w:pPr>
              <w:rPr>
                <w:b/>
              </w:rPr>
            </w:pPr>
            <w:r>
              <w:rPr>
                <w:b/>
              </w:rPr>
              <w:t>Опитування</w:t>
            </w:r>
          </w:p>
        </w:tc>
        <w:tc>
          <w:tcPr>
            <w:tcW w:w="7229" w:type="dxa"/>
          </w:tcPr>
          <w:p>
            <w:pPr>
              <w:jc w:val="both"/>
            </w:pPr>
            <w:r>
              <w:t>Анкету-оцінку з метою оцінювання якості курсу буде надано по завершенню курсу.</w:t>
            </w:r>
          </w:p>
        </w:tc>
      </w:tr>
    </w:tbl>
    <w:p>
      <w:pPr>
        <w:jc w:val="both"/>
        <w:rPr>
          <w:b/>
        </w:rPr>
      </w:pPr>
    </w:p>
    <w:p>
      <w:pPr>
        <w:jc w:val="both"/>
        <w:rPr>
          <w:b/>
        </w:rPr>
      </w:pPr>
    </w:p>
    <w:p>
      <w:pPr>
        <w:pStyle w:val="7"/>
        <w:ind w:firstLine="708"/>
        <w:jc w:val="both"/>
        <w:rPr>
          <w:b/>
          <w:bCs/>
          <w:sz w:val="24"/>
          <w:lang w:val="uk-UA"/>
        </w:rPr>
      </w:pPr>
    </w:p>
    <w:p>
      <w:pPr>
        <w:ind w:left="426"/>
        <w:jc w:val="both"/>
        <w:rPr>
          <w:bCs/>
          <w:spacing w:val="-6"/>
        </w:rPr>
      </w:pPr>
    </w:p>
    <w:p>
      <w:pPr>
        <w:ind w:left="426"/>
        <w:jc w:val="both"/>
        <w:rPr>
          <w:bCs/>
          <w:spacing w:val="-6"/>
        </w:rPr>
      </w:pPr>
    </w:p>
    <w:p>
      <w:pPr>
        <w:jc w:val="both"/>
        <w:rPr>
          <w:b/>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imesNewRoman">
    <w:altName w:val="Hiragino Sans"/>
    <w:panose1 w:val="020B0604020202020204"/>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BD3"/>
    <w:multiLevelType w:val="multilevel"/>
    <w:tmpl w:val="06F93BD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50EB086B"/>
    <w:multiLevelType w:val="multilevel"/>
    <w:tmpl w:val="50EB086B"/>
    <w:lvl w:ilvl="0" w:tentative="0">
      <w:start w:val="1"/>
      <w:numFmt w:val="decimal"/>
      <w:lvlText w:val="%1."/>
      <w:lvlJc w:val="left"/>
      <w:pPr>
        <w:ind w:left="734" w:hanging="360"/>
      </w:pPr>
    </w:lvl>
    <w:lvl w:ilvl="1" w:tentative="0">
      <w:start w:val="1"/>
      <w:numFmt w:val="lowerLetter"/>
      <w:lvlText w:val="%2."/>
      <w:lvlJc w:val="left"/>
      <w:pPr>
        <w:ind w:left="1454" w:hanging="360"/>
      </w:pPr>
    </w:lvl>
    <w:lvl w:ilvl="2" w:tentative="0">
      <w:start w:val="1"/>
      <w:numFmt w:val="lowerRoman"/>
      <w:lvlText w:val="%3."/>
      <w:lvlJc w:val="right"/>
      <w:pPr>
        <w:ind w:left="2174" w:hanging="180"/>
      </w:pPr>
    </w:lvl>
    <w:lvl w:ilvl="3" w:tentative="0">
      <w:start w:val="1"/>
      <w:numFmt w:val="decimal"/>
      <w:lvlText w:val="%4."/>
      <w:lvlJc w:val="left"/>
      <w:pPr>
        <w:ind w:left="2894" w:hanging="360"/>
      </w:pPr>
    </w:lvl>
    <w:lvl w:ilvl="4" w:tentative="0">
      <w:start w:val="1"/>
      <w:numFmt w:val="lowerLetter"/>
      <w:lvlText w:val="%5."/>
      <w:lvlJc w:val="left"/>
      <w:pPr>
        <w:ind w:left="3614" w:hanging="360"/>
      </w:pPr>
    </w:lvl>
    <w:lvl w:ilvl="5" w:tentative="0">
      <w:start w:val="1"/>
      <w:numFmt w:val="lowerRoman"/>
      <w:lvlText w:val="%6."/>
      <w:lvlJc w:val="right"/>
      <w:pPr>
        <w:ind w:left="4334" w:hanging="180"/>
      </w:pPr>
    </w:lvl>
    <w:lvl w:ilvl="6" w:tentative="0">
      <w:start w:val="1"/>
      <w:numFmt w:val="decimal"/>
      <w:lvlText w:val="%7."/>
      <w:lvlJc w:val="left"/>
      <w:pPr>
        <w:ind w:left="5054" w:hanging="360"/>
      </w:pPr>
    </w:lvl>
    <w:lvl w:ilvl="7" w:tentative="0">
      <w:start w:val="1"/>
      <w:numFmt w:val="lowerLetter"/>
      <w:lvlText w:val="%8."/>
      <w:lvlJc w:val="left"/>
      <w:pPr>
        <w:ind w:left="5774" w:hanging="360"/>
      </w:pPr>
    </w:lvl>
    <w:lvl w:ilvl="8" w:tentative="0">
      <w:start w:val="1"/>
      <w:numFmt w:val="lowerRoman"/>
      <w:lvlText w:val="%9."/>
      <w:lvlJc w:val="right"/>
      <w:pPr>
        <w:ind w:left="6494" w:hanging="180"/>
      </w:pPr>
    </w:lvl>
  </w:abstractNum>
  <w:abstractNum w:abstractNumId="2">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5310"/>
    <w:rsid w:val="000474BE"/>
    <w:rsid w:val="00060228"/>
    <w:rsid w:val="000668B0"/>
    <w:rsid w:val="000838A5"/>
    <w:rsid w:val="00086DF1"/>
    <w:rsid w:val="00090C59"/>
    <w:rsid w:val="000963DC"/>
    <w:rsid w:val="000968BD"/>
    <w:rsid w:val="000B1560"/>
    <w:rsid w:val="000C3454"/>
    <w:rsid w:val="000D1194"/>
    <w:rsid w:val="000D3809"/>
    <w:rsid w:val="000D69EC"/>
    <w:rsid w:val="000E5773"/>
    <w:rsid w:val="000E6ABA"/>
    <w:rsid w:val="000F1E7C"/>
    <w:rsid w:val="001061D3"/>
    <w:rsid w:val="00110FFE"/>
    <w:rsid w:val="00112DF1"/>
    <w:rsid w:val="001200CE"/>
    <w:rsid w:val="001220E5"/>
    <w:rsid w:val="0013312D"/>
    <w:rsid w:val="00147CA5"/>
    <w:rsid w:val="001512F1"/>
    <w:rsid w:val="00154C3D"/>
    <w:rsid w:val="00164094"/>
    <w:rsid w:val="001666C5"/>
    <w:rsid w:val="00170AD3"/>
    <w:rsid w:val="001823C7"/>
    <w:rsid w:val="001A3CC0"/>
    <w:rsid w:val="001C2E13"/>
    <w:rsid w:val="001C4800"/>
    <w:rsid w:val="001E036B"/>
    <w:rsid w:val="001E3F64"/>
    <w:rsid w:val="0020008C"/>
    <w:rsid w:val="00200813"/>
    <w:rsid w:val="0023189C"/>
    <w:rsid w:val="00246A5B"/>
    <w:rsid w:val="00255CCF"/>
    <w:rsid w:val="002567B2"/>
    <w:rsid w:val="00267600"/>
    <w:rsid w:val="00291490"/>
    <w:rsid w:val="0029693D"/>
    <w:rsid w:val="0029704F"/>
    <w:rsid w:val="002B5D05"/>
    <w:rsid w:val="002B5E45"/>
    <w:rsid w:val="002C1578"/>
    <w:rsid w:val="002C3E1A"/>
    <w:rsid w:val="002D6EAC"/>
    <w:rsid w:val="002E1775"/>
    <w:rsid w:val="002E27DC"/>
    <w:rsid w:val="002E398D"/>
    <w:rsid w:val="002F3A04"/>
    <w:rsid w:val="0031763F"/>
    <w:rsid w:val="00324625"/>
    <w:rsid w:val="003520DA"/>
    <w:rsid w:val="00353240"/>
    <w:rsid w:val="003607B5"/>
    <w:rsid w:val="00361778"/>
    <w:rsid w:val="0036258A"/>
    <w:rsid w:val="0037198D"/>
    <w:rsid w:val="003758AD"/>
    <w:rsid w:val="00377564"/>
    <w:rsid w:val="00395881"/>
    <w:rsid w:val="00395883"/>
    <w:rsid w:val="003A1B35"/>
    <w:rsid w:val="003A6AE1"/>
    <w:rsid w:val="003B2BD1"/>
    <w:rsid w:val="003B701F"/>
    <w:rsid w:val="003C59C0"/>
    <w:rsid w:val="003E78EB"/>
    <w:rsid w:val="003F75A8"/>
    <w:rsid w:val="00405B74"/>
    <w:rsid w:val="004113ED"/>
    <w:rsid w:val="0041462C"/>
    <w:rsid w:val="00421927"/>
    <w:rsid w:val="004229F5"/>
    <w:rsid w:val="004563A3"/>
    <w:rsid w:val="00464607"/>
    <w:rsid w:val="00464D43"/>
    <w:rsid w:val="00474594"/>
    <w:rsid w:val="00480644"/>
    <w:rsid w:val="00484403"/>
    <w:rsid w:val="00487750"/>
    <w:rsid w:val="004A2082"/>
    <w:rsid w:val="004A4E9E"/>
    <w:rsid w:val="004B1088"/>
    <w:rsid w:val="004B7B88"/>
    <w:rsid w:val="004C37DA"/>
    <w:rsid w:val="004D224B"/>
    <w:rsid w:val="004D5660"/>
    <w:rsid w:val="00530816"/>
    <w:rsid w:val="00531126"/>
    <w:rsid w:val="0053225B"/>
    <w:rsid w:val="00543A92"/>
    <w:rsid w:val="0056374A"/>
    <w:rsid w:val="00571E70"/>
    <w:rsid w:val="005839FE"/>
    <w:rsid w:val="005871A6"/>
    <w:rsid w:val="00594F07"/>
    <w:rsid w:val="005A7553"/>
    <w:rsid w:val="005A7AA5"/>
    <w:rsid w:val="005A7B8A"/>
    <w:rsid w:val="005A7FB9"/>
    <w:rsid w:val="005B3A52"/>
    <w:rsid w:val="005D462F"/>
    <w:rsid w:val="005E1F90"/>
    <w:rsid w:val="005E430C"/>
    <w:rsid w:val="005E53B6"/>
    <w:rsid w:val="005E5599"/>
    <w:rsid w:val="005F1254"/>
    <w:rsid w:val="005F3825"/>
    <w:rsid w:val="005F606F"/>
    <w:rsid w:val="00622338"/>
    <w:rsid w:val="0062453A"/>
    <w:rsid w:val="0063013B"/>
    <w:rsid w:val="00633166"/>
    <w:rsid w:val="006348E4"/>
    <w:rsid w:val="00650F7B"/>
    <w:rsid w:val="00661710"/>
    <w:rsid w:val="006B39B6"/>
    <w:rsid w:val="006B47B9"/>
    <w:rsid w:val="006C5C0A"/>
    <w:rsid w:val="006D277F"/>
    <w:rsid w:val="006D2B4B"/>
    <w:rsid w:val="006E0793"/>
    <w:rsid w:val="006E7259"/>
    <w:rsid w:val="006F2872"/>
    <w:rsid w:val="006F7E05"/>
    <w:rsid w:val="007233EF"/>
    <w:rsid w:val="00740E45"/>
    <w:rsid w:val="00742415"/>
    <w:rsid w:val="00745231"/>
    <w:rsid w:val="00753E89"/>
    <w:rsid w:val="00757015"/>
    <w:rsid w:val="00761B37"/>
    <w:rsid w:val="00766C01"/>
    <w:rsid w:val="0078790E"/>
    <w:rsid w:val="00787BB8"/>
    <w:rsid w:val="007912E9"/>
    <w:rsid w:val="007944E8"/>
    <w:rsid w:val="007961E4"/>
    <w:rsid w:val="007E2646"/>
    <w:rsid w:val="007F2861"/>
    <w:rsid w:val="007F3D38"/>
    <w:rsid w:val="007F53EC"/>
    <w:rsid w:val="008135AD"/>
    <w:rsid w:val="00846175"/>
    <w:rsid w:val="00856E0C"/>
    <w:rsid w:val="00872736"/>
    <w:rsid w:val="008733B0"/>
    <w:rsid w:val="00873F85"/>
    <w:rsid w:val="008809E8"/>
    <w:rsid w:val="00886C22"/>
    <w:rsid w:val="00895FCC"/>
    <w:rsid w:val="008A52E3"/>
    <w:rsid w:val="008B7AB3"/>
    <w:rsid w:val="008C3905"/>
    <w:rsid w:val="008C3916"/>
    <w:rsid w:val="008C740E"/>
    <w:rsid w:val="008D4A77"/>
    <w:rsid w:val="008D5CEE"/>
    <w:rsid w:val="008E212B"/>
    <w:rsid w:val="008F1502"/>
    <w:rsid w:val="008F65D3"/>
    <w:rsid w:val="008F7638"/>
    <w:rsid w:val="00905E32"/>
    <w:rsid w:val="00906503"/>
    <w:rsid w:val="00912931"/>
    <w:rsid w:val="00912D1B"/>
    <w:rsid w:val="00926690"/>
    <w:rsid w:val="00932FAC"/>
    <w:rsid w:val="00945524"/>
    <w:rsid w:val="00963DF3"/>
    <w:rsid w:val="00976026"/>
    <w:rsid w:val="00995A90"/>
    <w:rsid w:val="009A53B7"/>
    <w:rsid w:val="009B569B"/>
    <w:rsid w:val="009C02DF"/>
    <w:rsid w:val="009F3413"/>
    <w:rsid w:val="00A06637"/>
    <w:rsid w:val="00A11B5D"/>
    <w:rsid w:val="00A14F99"/>
    <w:rsid w:val="00A22147"/>
    <w:rsid w:val="00A36AEE"/>
    <w:rsid w:val="00A40F5A"/>
    <w:rsid w:val="00A65B9E"/>
    <w:rsid w:val="00A72D32"/>
    <w:rsid w:val="00AA1A4F"/>
    <w:rsid w:val="00AA3454"/>
    <w:rsid w:val="00AB31FF"/>
    <w:rsid w:val="00AC5066"/>
    <w:rsid w:val="00AC64BF"/>
    <w:rsid w:val="00AD5B28"/>
    <w:rsid w:val="00AD6D50"/>
    <w:rsid w:val="00AE5B41"/>
    <w:rsid w:val="00AF17D0"/>
    <w:rsid w:val="00B02F52"/>
    <w:rsid w:val="00B13D0F"/>
    <w:rsid w:val="00B16DDD"/>
    <w:rsid w:val="00B176C7"/>
    <w:rsid w:val="00B17A00"/>
    <w:rsid w:val="00B21F1D"/>
    <w:rsid w:val="00B32BCB"/>
    <w:rsid w:val="00B46BC2"/>
    <w:rsid w:val="00B52871"/>
    <w:rsid w:val="00B5602C"/>
    <w:rsid w:val="00B70E20"/>
    <w:rsid w:val="00B7661F"/>
    <w:rsid w:val="00B76F7A"/>
    <w:rsid w:val="00B82652"/>
    <w:rsid w:val="00B83657"/>
    <w:rsid w:val="00B900AD"/>
    <w:rsid w:val="00B96B32"/>
    <w:rsid w:val="00BA0648"/>
    <w:rsid w:val="00BA5AF6"/>
    <w:rsid w:val="00BC3238"/>
    <w:rsid w:val="00BD09E5"/>
    <w:rsid w:val="00BD58B9"/>
    <w:rsid w:val="00BE36CD"/>
    <w:rsid w:val="00BF0DCC"/>
    <w:rsid w:val="00BF379C"/>
    <w:rsid w:val="00C15F59"/>
    <w:rsid w:val="00C173A1"/>
    <w:rsid w:val="00C32AC1"/>
    <w:rsid w:val="00C515F4"/>
    <w:rsid w:val="00C54FB1"/>
    <w:rsid w:val="00C60DCF"/>
    <w:rsid w:val="00C64058"/>
    <w:rsid w:val="00C65C7B"/>
    <w:rsid w:val="00C65F69"/>
    <w:rsid w:val="00C75674"/>
    <w:rsid w:val="00C80F24"/>
    <w:rsid w:val="00C81BD4"/>
    <w:rsid w:val="00C85589"/>
    <w:rsid w:val="00C85CB8"/>
    <w:rsid w:val="00C95DBF"/>
    <w:rsid w:val="00CA0EED"/>
    <w:rsid w:val="00CA1B66"/>
    <w:rsid w:val="00CA43D1"/>
    <w:rsid w:val="00CB4C6E"/>
    <w:rsid w:val="00CE0A75"/>
    <w:rsid w:val="00CE0BC8"/>
    <w:rsid w:val="00CF0147"/>
    <w:rsid w:val="00CF38FE"/>
    <w:rsid w:val="00CF7B63"/>
    <w:rsid w:val="00D10F60"/>
    <w:rsid w:val="00D1431A"/>
    <w:rsid w:val="00D25775"/>
    <w:rsid w:val="00D4199B"/>
    <w:rsid w:val="00D42B62"/>
    <w:rsid w:val="00D44328"/>
    <w:rsid w:val="00D44F54"/>
    <w:rsid w:val="00D46615"/>
    <w:rsid w:val="00D46B73"/>
    <w:rsid w:val="00D53949"/>
    <w:rsid w:val="00D56BFF"/>
    <w:rsid w:val="00D61AB9"/>
    <w:rsid w:val="00D64D96"/>
    <w:rsid w:val="00D66059"/>
    <w:rsid w:val="00D72547"/>
    <w:rsid w:val="00D72CF1"/>
    <w:rsid w:val="00D7410C"/>
    <w:rsid w:val="00DA4300"/>
    <w:rsid w:val="00DB10D9"/>
    <w:rsid w:val="00DC3EF4"/>
    <w:rsid w:val="00DD44B6"/>
    <w:rsid w:val="00DD49E4"/>
    <w:rsid w:val="00DD5365"/>
    <w:rsid w:val="00DE4E6F"/>
    <w:rsid w:val="00DF618D"/>
    <w:rsid w:val="00E0490E"/>
    <w:rsid w:val="00E05661"/>
    <w:rsid w:val="00E21327"/>
    <w:rsid w:val="00E22534"/>
    <w:rsid w:val="00E271CB"/>
    <w:rsid w:val="00E33C03"/>
    <w:rsid w:val="00E51E49"/>
    <w:rsid w:val="00EA5BBB"/>
    <w:rsid w:val="00EA749B"/>
    <w:rsid w:val="00EC47B3"/>
    <w:rsid w:val="00ED0B47"/>
    <w:rsid w:val="00ED4A1E"/>
    <w:rsid w:val="00ED679D"/>
    <w:rsid w:val="00EE1595"/>
    <w:rsid w:val="00EE3967"/>
    <w:rsid w:val="00EF2C86"/>
    <w:rsid w:val="00EF37F4"/>
    <w:rsid w:val="00F0134F"/>
    <w:rsid w:val="00F20A92"/>
    <w:rsid w:val="00F23949"/>
    <w:rsid w:val="00F45C5B"/>
    <w:rsid w:val="00F57A38"/>
    <w:rsid w:val="00F57AEF"/>
    <w:rsid w:val="00F622CF"/>
    <w:rsid w:val="00F66F80"/>
    <w:rsid w:val="00FA030D"/>
    <w:rsid w:val="00FA656E"/>
    <w:rsid w:val="00FC74B7"/>
    <w:rsid w:val="00FD2081"/>
    <w:rsid w:val="00FD2F64"/>
    <w:rsid w:val="00FD587B"/>
    <w:rsid w:val="00FD6660"/>
    <w:rsid w:val="00FD7C58"/>
    <w:rsid w:val="00FF58ED"/>
    <w:rsid w:val="00FF68F5"/>
    <w:rsid w:val="040366A0"/>
    <w:rsid w:val="05B3C632"/>
    <w:rsid w:val="0805CE31"/>
    <w:rsid w:val="16372E03"/>
    <w:rsid w:val="1821AF5A"/>
    <w:rsid w:val="1A1C062C"/>
    <w:rsid w:val="21970B34"/>
    <w:rsid w:val="22F42289"/>
    <w:rsid w:val="32347EDA"/>
    <w:rsid w:val="34A5EE99"/>
    <w:rsid w:val="36607F7E"/>
    <w:rsid w:val="3AAA3D08"/>
    <w:rsid w:val="3C5B6763"/>
    <w:rsid w:val="3D082DEF"/>
    <w:rsid w:val="43B4ED49"/>
    <w:rsid w:val="46B4F739"/>
    <w:rsid w:val="497E70CA"/>
    <w:rsid w:val="4A4E34A0"/>
    <w:rsid w:val="4A511DDA"/>
    <w:rsid w:val="4B9A1C97"/>
    <w:rsid w:val="4DD6413B"/>
    <w:rsid w:val="4E68AC6A"/>
    <w:rsid w:val="5D2CDE76"/>
    <w:rsid w:val="623AD3FC"/>
    <w:rsid w:val="64161170"/>
    <w:rsid w:val="6AD36DDB"/>
    <w:rsid w:val="6ADB4037"/>
    <w:rsid w:val="6AFB3F31"/>
    <w:rsid w:val="713A043F"/>
    <w:rsid w:val="769F66BD"/>
    <w:rsid w:val="76A2A031"/>
    <w:rsid w:val="76AD9FD7"/>
    <w:rsid w:val="77A09AA3"/>
    <w:rsid w:val="780F634D"/>
    <w:rsid w:val="7EADB216"/>
    <w:rsid w:val="D7AED20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de-DE" w:eastAsia="de-DE" w:bidi="ar-SA"/>
    </w:rPr>
  </w:style>
  <w:style w:type="paragraph" w:styleId="2">
    <w:name w:val="heading 1"/>
    <w:basedOn w:val="1"/>
    <w:next w:val="1"/>
    <w:link w:val="17"/>
    <w:qFormat/>
    <w:uiPriority w:val="0"/>
    <w:pPr>
      <w:keepNext/>
      <w:outlineLvl w:val="0"/>
    </w:pPr>
    <w:rPr>
      <w:sz w:val="32"/>
      <w:lang w:val="uk-UA" w:eastAsia="ru-RU"/>
    </w:rPr>
  </w:style>
  <w:style w:type="paragraph" w:styleId="3">
    <w:name w:val="heading 3"/>
    <w:basedOn w:val="1"/>
    <w:next w:val="1"/>
    <w:link w:val="28"/>
    <w:unhideWhenUsed/>
    <w:qFormat/>
    <w:uiPriority w:val="9"/>
    <w:pPr>
      <w:keepNext/>
      <w:keepLines/>
      <w:spacing w:before="40" w:line="276" w:lineRule="auto"/>
      <w:outlineLvl w:val="2"/>
    </w:pPr>
    <w:rPr>
      <w:rFonts w:asciiTheme="majorHAnsi" w:hAnsiTheme="majorHAnsi" w:eastAsiaTheme="majorEastAsia" w:cstheme="majorBidi"/>
      <w:color w:val="254061" w:themeColor="accent1" w:themeShade="80"/>
      <w:lang w:val="uk-UA" w:eastAsia="en-US"/>
    </w:rPr>
  </w:style>
  <w:style w:type="paragraph" w:styleId="4">
    <w:name w:val="heading 4"/>
    <w:basedOn w:val="1"/>
    <w:next w:val="1"/>
    <w:link w:val="20"/>
    <w:unhideWhenUsed/>
    <w:qFormat/>
    <w:uiPriority w:val="9"/>
    <w:pPr>
      <w:keepNext/>
      <w:keepLines/>
      <w:spacing w:before="200" w:line="276" w:lineRule="auto"/>
      <w:outlineLvl w:val="3"/>
    </w:pPr>
    <w:rPr>
      <w:rFonts w:asciiTheme="majorHAnsi" w:hAnsiTheme="majorHAnsi" w:eastAsiaTheme="majorEastAsia" w:cstheme="majorBidi"/>
      <w:b/>
      <w:bCs/>
      <w:i/>
      <w:iCs/>
      <w:color w:val="4F81BD" w:themeColor="accent1"/>
      <w:sz w:val="22"/>
      <w:szCs w:val="22"/>
      <w:lang w:val="uk-UA" w:eastAsia="en-US"/>
      <w14:textFill>
        <w14:solidFill>
          <w14:schemeClr w14:val="accent1"/>
        </w14:solidFill>
      </w14:textFill>
    </w:rPr>
  </w:style>
  <w:style w:type="paragraph" w:styleId="5">
    <w:name w:val="heading 7"/>
    <w:basedOn w:val="1"/>
    <w:next w:val="1"/>
    <w:link w:val="21"/>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Balloon Text"/>
    <w:basedOn w:val="1"/>
    <w:link w:val="23"/>
    <w:unhideWhenUsed/>
    <w:qFormat/>
    <w:uiPriority w:val="99"/>
    <w:rPr>
      <w:rFonts w:ascii="Tahoma" w:hAnsi="Tahoma" w:cs="Tahoma"/>
      <w:sz w:val="16"/>
      <w:szCs w:val="16"/>
    </w:rPr>
  </w:style>
  <w:style w:type="paragraph" w:styleId="7">
    <w:name w:val="Body Text"/>
    <w:basedOn w:val="1"/>
    <w:link w:val="22"/>
    <w:qFormat/>
    <w:uiPriority w:val="0"/>
    <w:pPr>
      <w:spacing w:after="120"/>
    </w:pPr>
    <w:rPr>
      <w:sz w:val="28"/>
      <w:lang w:val="ru-RU" w:eastAsia="ru-RU"/>
    </w:rPr>
  </w:style>
  <w:style w:type="paragraph" w:styleId="8">
    <w:name w:val="header"/>
    <w:basedOn w:val="1"/>
    <w:link w:val="29"/>
    <w:qFormat/>
    <w:uiPriority w:val="0"/>
    <w:pPr>
      <w:tabs>
        <w:tab w:val="center" w:pos="4677"/>
        <w:tab w:val="right" w:pos="9355"/>
      </w:tabs>
    </w:pPr>
    <w:rPr>
      <w:lang w:val="uk-UA" w:eastAsia="ru-RU"/>
    </w:rPr>
  </w:style>
  <w:style w:type="paragraph" w:styleId="9">
    <w:name w:val="Normal (Web)"/>
    <w:basedOn w:val="1"/>
    <w:unhideWhenUsed/>
    <w:qFormat/>
    <w:uiPriority w:val="99"/>
    <w:pPr>
      <w:spacing w:before="100" w:beforeAutospacing="1" w:after="100" w:afterAutospacing="1"/>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TML Cite"/>
    <w:basedOn w:val="10"/>
    <w:unhideWhenUsed/>
    <w:qFormat/>
    <w:uiPriority w:val="99"/>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Überschrift 1 Zchn"/>
    <w:basedOn w:val="10"/>
    <w:link w:val="2"/>
    <w:qFormat/>
    <w:uiPriority w:val="0"/>
    <w:rPr>
      <w:rFonts w:ascii="Times New Roman" w:hAnsi="Times New Roman" w:eastAsia="Times New Roman" w:cs="Times New Roman"/>
      <w:sz w:val="32"/>
      <w:szCs w:val="24"/>
      <w:lang w:eastAsia="ru-RU"/>
    </w:rPr>
  </w:style>
  <w:style w:type="paragraph" w:customStyle="1" w:styleId="18">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9">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uk-UA" w:eastAsia="en-US"/>
    </w:rPr>
  </w:style>
  <w:style w:type="character" w:customStyle="1" w:styleId="20">
    <w:name w:val="Überschrift 4 Zchn"/>
    <w:basedOn w:val="10"/>
    <w:link w:val="4"/>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Überschrift 7 Zchn"/>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2">
    <w:name w:val="Textkörper Zchn"/>
    <w:basedOn w:val="10"/>
    <w:link w:val="7"/>
    <w:qFormat/>
    <w:uiPriority w:val="0"/>
    <w:rPr>
      <w:rFonts w:ascii="Times New Roman" w:hAnsi="Times New Roman" w:eastAsia="Times New Roman" w:cs="Times New Roman"/>
      <w:sz w:val="28"/>
      <w:szCs w:val="24"/>
      <w:lang w:val="ru-RU" w:eastAsia="ru-RU"/>
    </w:rPr>
  </w:style>
  <w:style w:type="character" w:customStyle="1" w:styleId="23">
    <w:name w:val="Sprechblasentext Zchn"/>
    <w:basedOn w:val="10"/>
    <w:link w:val="6"/>
    <w:semiHidden/>
    <w:qFormat/>
    <w:uiPriority w:val="99"/>
    <w:rPr>
      <w:rFonts w:ascii="Tahoma" w:hAnsi="Tahoma" w:cs="Tahoma"/>
      <w:sz w:val="16"/>
      <w:szCs w:val="16"/>
    </w:rPr>
  </w:style>
  <w:style w:type="paragraph" w:customStyle="1" w:styleId="2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5">
    <w:name w:val="Unresolved Mention"/>
    <w:basedOn w:val="10"/>
    <w:unhideWhenUsed/>
    <w:qFormat/>
    <w:uiPriority w:val="99"/>
    <w:rPr>
      <w:color w:val="605E5C"/>
      <w:shd w:val="clear" w:color="auto" w:fill="E1DFDD"/>
    </w:rPr>
  </w:style>
  <w:style w:type="paragraph" w:customStyle="1" w:styleId="26">
    <w:name w:val="rvps3"/>
    <w:basedOn w:val="1"/>
    <w:qFormat/>
    <w:uiPriority w:val="0"/>
    <w:pPr>
      <w:jc w:val="both"/>
    </w:pPr>
    <w:rPr>
      <w:lang w:val="uk-UA" w:eastAsia="uk-UA"/>
    </w:rPr>
  </w:style>
  <w:style w:type="character" w:customStyle="1" w:styleId="27">
    <w:name w:val="rvts6"/>
    <w:qFormat/>
    <w:uiPriority w:val="0"/>
    <w:rPr>
      <w:rFonts w:hint="default" w:ascii="Times New Roman" w:hAnsi="Times New Roman" w:cs="Times New Roman"/>
      <w:spacing w:val="-15"/>
      <w:sz w:val="28"/>
      <w:szCs w:val="28"/>
    </w:rPr>
  </w:style>
  <w:style w:type="character" w:customStyle="1" w:styleId="28">
    <w:name w:val="Überschrift 3 Zchn"/>
    <w:basedOn w:val="10"/>
    <w:link w:val="3"/>
    <w:qFormat/>
    <w:uiPriority w:val="9"/>
    <w:rPr>
      <w:rFonts w:asciiTheme="majorHAnsi" w:hAnsiTheme="majorHAnsi" w:eastAsiaTheme="majorEastAsia" w:cstheme="majorBidi"/>
      <w:color w:val="254061" w:themeColor="accent1" w:themeShade="80"/>
      <w:sz w:val="24"/>
      <w:szCs w:val="24"/>
    </w:rPr>
  </w:style>
  <w:style w:type="character" w:customStyle="1" w:styleId="29">
    <w:name w:val="Kopfzeile Zchn"/>
    <w:basedOn w:val="10"/>
    <w:link w:val="8"/>
    <w:qFormat/>
    <w:uiPriority w:val="0"/>
    <w:rPr>
      <w:rFonts w:ascii="Times New Roman" w:hAnsi="Times New Roman" w:eastAsia="Times New Roman" w:cs="Times New Roman"/>
      <w:sz w:val="24"/>
      <w:szCs w:val="24"/>
      <w:lang w:eastAsia="ru-RU"/>
    </w:rPr>
  </w:style>
  <w:style w:type="character" w:customStyle="1" w:styleId="30">
    <w:name w:val="normaltextrun"/>
    <w:basedOn w:val="10"/>
    <w:qFormat/>
    <w:uiPriority w:val="0"/>
  </w:style>
  <w:style w:type="character" w:customStyle="1" w:styleId="31">
    <w:name w:val="eop"/>
    <w:basedOn w:val="10"/>
    <w:qFormat/>
    <w:uiPriority w:val="0"/>
  </w:style>
  <w:style w:type="character" w:customStyle="1" w:styleId="32">
    <w:name w:val="apple-converted-space"/>
    <w:basedOn w:val="10"/>
    <w:qFormat/>
    <w:uiPriority w:val="0"/>
  </w:style>
  <w:style w:type="character" w:customStyle="1" w:styleId="33">
    <w:name w:val="s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Taras Pyts</dc:creator>
  <cp:lastModifiedBy>olgadenys</cp:lastModifiedBy>
  <dcterms:modified xsi:type="dcterms:W3CDTF">2021-02-18T20:32:35Z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