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line="360" w:lineRule="auto"/>
        <w:jc w:val="center"/>
        <w:outlineLvl w:val="0"/>
        <w:rPr>
          <w:rFonts w:ascii="Times New Roman" w:hAnsi="Times New Roman"/>
          <w:b/>
          <w:bCs/>
          <w:sz w:val="28"/>
          <w:szCs w:val="28"/>
          <w:lang w:val="en-US"/>
        </w:rPr>
      </w:pPr>
      <w:r>
        <w:rPr>
          <w:rFonts w:ascii="Times New Roman" w:hAnsi="Times New Roman"/>
          <w:b/>
          <w:bCs/>
          <w:sz w:val="28"/>
          <w:szCs w:val="28"/>
          <w:lang w:val="en-US"/>
        </w:rPr>
        <w:t>Львівський національний університет імені Івана Франка</w:t>
      </w:r>
    </w:p>
    <w:p>
      <w:pPr>
        <w:widowControl w:val="0"/>
        <w:autoSpaceDE w:val="0"/>
        <w:autoSpaceDN w:val="0"/>
        <w:adjustRightInd w:val="0"/>
        <w:spacing w:line="360" w:lineRule="auto"/>
        <w:jc w:val="center"/>
        <w:outlineLvl w:val="0"/>
        <w:rPr>
          <w:rFonts w:ascii="Times New Roman" w:hAnsi="Times New Roman"/>
          <w:b/>
          <w:bCs/>
          <w:sz w:val="28"/>
          <w:szCs w:val="28"/>
          <w:lang w:val="en-US"/>
        </w:rPr>
      </w:pPr>
      <w:r>
        <w:rPr>
          <w:rFonts w:ascii="Times New Roman" w:hAnsi="Times New Roman"/>
          <w:b/>
          <w:bCs/>
          <w:sz w:val="28"/>
          <w:szCs w:val="28"/>
          <w:lang w:val="en-US"/>
        </w:rPr>
        <w:t>Факультет іноземних мов</w:t>
      </w:r>
    </w:p>
    <w:p>
      <w:pPr>
        <w:widowControl w:val="0"/>
        <w:autoSpaceDE w:val="0"/>
        <w:autoSpaceDN w:val="0"/>
        <w:adjustRightInd w:val="0"/>
        <w:spacing w:line="360" w:lineRule="auto"/>
        <w:jc w:val="center"/>
        <w:outlineLvl w:val="0"/>
        <w:rPr>
          <w:rFonts w:ascii="Times New Roman" w:hAnsi="Times New Roman"/>
          <w:b/>
          <w:bCs/>
          <w:sz w:val="28"/>
          <w:szCs w:val="28"/>
          <w:lang w:val="en-US"/>
        </w:rPr>
      </w:pPr>
      <w:r>
        <w:rPr>
          <w:rFonts w:ascii="Times New Roman" w:hAnsi="Times New Roman"/>
          <w:b/>
          <w:bCs/>
          <w:sz w:val="28"/>
          <w:szCs w:val="28"/>
          <w:lang w:val="en-US"/>
        </w:rPr>
        <w:t>Кафедра міжкультурної комунікації та перекладу</w:t>
      </w:r>
    </w:p>
    <w:p>
      <w:pPr>
        <w:widowControl w:val="0"/>
        <w:autoSpaceDE w:val="0"/>
        <w:autoSpaceDN w:val="0"/>
        <w:adjustRightInd w:val="0"/>
        <w:spacing w:line="360" w:lineRule="auto"/>
        <w:jc w:val="center"/>
        <w:rPr>
          <w:rFonts w:ascii="Times New Roman" w:hAnsi="Times New Roman"/>
          <w:b/>
          <w:bCs/>
          <w:lang w:val="en-US"/>
        </w:rPr>
      </w:pPr>
    </w:p>
    <w:p>
      <w:pPr>
        <w:widowControl w:val="0"/>
        <w:autoSpaceDE w:val="0"/>
        <w:autoSpaceDN w:val="0"/>
        <w:adjustRightInd w:val="0"/>
        <w:spacing w:line="360" w:lineRule="auto"/>
        <w:jc w:val="center"/>
        <w:rPr>
          <w:rFonts w:ascii="Times New Roman" w:hAnsi="Times New Roman"/>
          <w:b/>
          <w:bCs/>
          <w:lang w:val="en-US"/>
        </w:rPr>
      </w:pPr>
    </w:p>
    <w:p>
      <w:pPr>
        <w:spacing w:line="360" w:lineRule="auto"/>
        <w:ind w:left="5103" w:firstLine="851"/>
        <w:jc w:val="center"/>
        <w:rPr>
          <w:rFonts w:ascii="Times New Roman" w:hAnsi="Times New Roman" w:eastAsia="Times New Roman"/>
        </w:rPr>
      </w:pPr>
      <w:r>
        <w:rPr>
          <w:rFonts w:ascii="Times New Roman" w:hAnsi="Times New Roman" w:eastAsia="Times New Roman"/>
        </w:rPr>
        <w:t>“</w:t>
      </w:r>
      <w:r>
        <w:rPr>
          <w:rFonts w:ascii="Times New Roman" w:hAnsi="Times New Roman" w:eastAsia="Times New Roman"/>
          <w:b/>
          <w:bCs/>
        </w:rPr>
        <w:t>ЗАТВЕРДЖУЮ</w:t>
      </w:r>
      <w:r>
        <w:rPr>
          <w:rFonts w:ascii="Times New Roman" w:hAnsi="Times New Roman" w:eastAsia="Times New Roman"/>
        </w:rPr>
        <w:t>”</w:t>
      </w:r>
    </w:p>
    <w:p>
      <w:pPr>
        <w:spacing w:line="360" w:lineRule="auto"/>
        <w:ind w:left="2835"/>
        <w:jc w:val="right"/>
        <w:rPr>
          <w:rFonts w:ascii="Times New Roman" w:hAnsi="Times New Roman" w:eastAsia="Times New Roman"/>
        </w:rPr>
      </w:pPr>
      <w:r>
        <w:rPr>
          <w:rFonts w:ascii="Times New Roman" w:hAnsi="Times New Roman" w:eastAsia="Times New Roman"/>
          <w:b/>
          <w:bCs/>
        </w:rPr>
        <w:t xml:space="preserve">Завідувач кафедри міжкультурної </w:t>
      </w:r>
    </w:p>
    <w:p>
      <w:pPr>
        <w:spacing w:line="360" w:lineRule="auto"/>
        <w:ind w:left="2835"/>
        <w:jc w:val="right"/>
        <w:rPr>
          <w:rFonts w:ascii="Times New Roman" w:hAnsi="Times New Roman" w:eastAsia="Times New Roman"/>
        </w:rPr>
      </w:pPr>
      <w:r>
        <w:rPr>
          <w:rFonts w:ascii="Times New Roman" w:hAnsi="Times New Roman" w:eastAsia="Times New Roman"/>
          <w:b/>
          <w:bCs/>
        </w:rPr>
        <w:t>комунікації та перекладу</w:t>
      </w:r>
    </w:p>
    <w:p>
      <w:pPr>
        <w:spacing w:line="360" w:lineRule="auto"/>
        <w:ind w:left="2835"/>
        <w:jc w:val="right"/>
        <w:rPr>
          <w:rFonts w:ascii="Times New Roman" w:hAnsi="Times New Roman" w:eastAsia="Times New Roman"/>
        </w:rPr>
      </w:pPr>
      <w:r>
        <w:rPr>
          <w:rFonts w:ascii="Times New Roman" w:hAnsi="Times New Roman" w:eastAsia="Times New Roman"/>
          <w:lang w:val="ru-RU"/>
        </w:rPr>
        <w:t xml:space="preserve">_________________А. Й. Паславська </w:t>
      </w:r>
    </w:p>
    <w:p>
      <w:pPr>
        <w:spacing w:line="360" w:lineRule="auto"/>
        <w:jc w:val="right"/>
        <w:rPr>
          <w:rFonts w:ascii="Times New Roman" w:hAnsi="Times New Roman" w:eastAsia="Times New Roman"/>
        </w:rPr>
      </w:pPr>
      <w:r>
        <w:rPr>
          <w:rFonts w:ascii="Times New Roman" w:hAnsi="Times New Roman" w:eastAsia="Times New Roman"/>
          <w:lang w:val="ru-RU"/>
        </w:rPr>
        <w:t>“______” ______________20___ р</w:t>
      </w:r>
      <w:r>
        <w:rPr>
          <w:rFonts w:ascii="Times New Roman" w:hAnsi="Times New Roman" w:eastAsia="Times New Roman"/>
        </w:rPr>
        <w:t>оку</w:t>
      </w:r>
    </w:p>
    <w:p>
      <w:pPr>
        <w:jc w:val="both"/>
        <w:rPr>
          <w:rFonts w:ascii="Times New Roman" w:hAnsi="Times New Roman" w:eastAsia="Times New Roman"/>
          <w:b/>
          <w:color w:val="000000"/>
          <w:sz w:val="28"/>
          <w:szCs w:val="28"/>
        </w:rPr>
      </w:pPr>
    </w:p>
    <w:p>
      <w:pPr>
        <w:widowControl w:val="0"/>
        <w:autoSpaceDE w:val="0"/>
        <w:autoSpaceDN w:val="0"/>
        <w:adjustRightInd w:val="0"/>
        <w:jc w:val="center"/>
        <w:rPr>
          <w:rFonts w:ascii="Times New Roman" w:hAnsi="Times New Roman" w:eastAsia="Times New Roman"/>
          <w:b/>
          <w:color w:val="000000"/>
          <w:sz w:val="32"/>
          <w:szCs w:val="32"/>
        </w:rPr>
      </w:pPr>
    </w:p>
    <w:p>
      <w:pPr>
        <w:widowControl w:val="0"/>
        <w:autoSpaceDE w:val="0"/>
        <w:autoSpaceDN w:val="0"/>
        <w:adjustRightInd w:val="0"/>
        <w:jc w:val="center"/>
        <w:rPr>
          <w:rFonts w:ascii="Times New Roman" w:hAnsi="Times New Roman" w:eastAsia="Times New Roman"/>
          <w:b/>
          <w:color w:val="000000"/>
          <w:sz w:val="32"/>
          <w:szCs w:val="32"/>
        </w:rPr>
      </w:pPr>
    </w:p>
    <w:p>
      <w:pPr>
        <w:widowControl w:val="0"/>
        <w:autoSpaceDE w:val="0"/>
        <w:autoSpaceDN w:val="0"/>
        <w:adjustRightInd w:val="0"/>
        <w:jc w:val="center"/>
        <w:rPr>
          <w:rFonts w:ascii="Times New Roman" w:hAnsi="Times New Roman" w:eastAsia="Times New Roman"/>
          <w:b/>
          <w:color w:val="000000"/>
          <w:sz w:val="32"/>
          <w:szCs w:val="32"/>
        </w:rPr>
      </w:pPr>
      <w:r>
        <w:rPr>
          <w:rFonts w:ascii="Times New Roman" w:hAnsi="Times New Roman" w:eastAsia="Times New Roman"/>
          <w:b/>
          <w:color w:val="000000"/>
          <w:sz w:val="32"/>
          <w:szCs w:val="32"/>
        </w:rPr>
        <w:t>С И Л А Б У С</w:t>
      </w:r>
    </w:p>
    <w:p>
      <w:pPr>
        <w:widowControl w:val="0"/>
        <w:autoSpaceDE w:val="0"/>
        <w:autoSpaceDN w:val="0"/>
        <w:adjustRightInd w:val="0"/>
        <w:jc w:val="center"/>
        <w:rPr>
          <w:rFonts w:ascii="Times New Roman" w:hAnsi="Times New Roman" w:eastAsia="Times New Roman"/>
          <w:b/>
          <w:color w:val="000000"/>
          <w:sz w:val="32"/>
          <w:szCs w:val="32"/>
        </w:rPr>
      </w:pPr>
    </w:p>
    <w:p>
      <w:pPr>
        <w:widowControl w:val="0"/>
        <w:autoSpaceDE w:val="0"/>
        <w:autoSpaceDN w:val="0"/>
        <w:adjustRightInd w:val="0"/>
        <w:jc w:val="center"/>
        <w:rPr>
          <w:rFonts w:ascii="Times New Roman" w:hAnsi="Times New Roman" w:eastAsia="Times New Roman"/>
          <w:b/>
          <w:color w:val="000000"/>
          <w:sz w:val="32"/>
          <w:szCs w:val="32"/>
        </w:rPr>
      </w:pPr>
      <w:r>
        <w:rPr>
          <w:rFonts w:ascii="Times New Roman" w:hAnsi="Times New Roman" w:eastAsia="Times New Roman"/>
          <w:b/>
          <w:color w:val="000000"/>
          <w:sz w:val="32"/>
          <w:szCs w:val="32"/>
        </w:rPr>
        <w:t xml:space="preserve">Риторика </w:t>
      </w:r>
    </w:p>
    <w:p>
      <w:pPr>
        <w:widowControl w:val="0"/>
        <w:autoSpaceDE w:val="0"/>
        <w:autoSpaceDN w:val="0"/>
        <w:adjustRightInd w:val="0"/>
        <w:jc w:val="center"/>
        <w:rPr>
          <w:rFonts w:ascii="Times New Roman" w:hAnsi="Times New Roman"/>
          <w:b/>
          <w:bCs/>
          <w:lang w:val="en-US"/>
        </w:rPr>
      </w:pPr>
    </w:p>
    <w:p>
      <w:pPr>
        <w:spacing w:line="360" w:lineRule="auto"/>
        <w:rPr>
          <w:rFonts w:ascii="Times New Roman" w:hAnsi="Times New Roman" w:eastAsia="Times New Roman"/>
          <w:sz w:val="28"/>
          <w:szCs w:val="28"/>
        </w:rPr>
      </w:pPr>
      <w:r>
        <w:rPr>
          <w:rFonts w:ascii="Times New Roman" w:hAnsi="Times New Roman" w:eastAsia="Times New Roman"/>
          <w:b/>
          <w:bCs/>
          <w:sz w:val="28"/>
          <w:szCs w:val="28"/>
        </w:rPr>
        <w:t>Освітній ступінь Бакалавр</w:t>
      </w:r>
    </w:p>
    <w:p>
      <w:pPr>
        <w:spacing w:line="360" w:lineRule="auto"/>
        <w:rPr>
          <w:rFonts w:ascii="Times New Roman" w:hAnsi="Times New Roman" w:eastAsia="Times New Roman"/>
          <w:sz w:val="28"/>
          <w:szCs w:val="28"/>
        </w:rPr>
      </w:pPr>
      <w:r>
        <w:rPr>
          <w:rFonts w:ascii="Times New Roman" w:hAnsi="Times New Roman" w:eastAsia="Times New Roman"/>
          <w:b/>
          <w:bCs/>
          <w:sz w:val="28"/>
          <w:szCs w:val="28"/>
        </w:rPr>
        <w:t>Галузь знань 03 Гуманітарні науки</w:t>
      </w:r>
    </w:p>
    <w:p>
      <w:pPr>
        <w:spacing w:line="360" w:lineRule="auto"/>
        <w:rPr>
          <w:rFonts w:ascii="Times New Roman" w:hAnsi="Times New Roman" w:eastAsia="Times New Roman"/>
          <w:b/>
          <w:bCs/>
          <w:sz w:val="28"/>
          <w:szCs w:val="28"/>
        </w:rPr>
      </w:pPr>
      <w:r>
        <w:rPr>
          <w:rFonts w:ascii="Times New Roman" w:hAnsi="Times New Roman" w:eastAsia="Times New Roman"/>
          <w:b/>
          <w:bCs/>
          <w:sz w:val="28"/>
          <w:szCs w:val="28"/>
        </w:rPr>
        <w:t>Спеціальність 035 Філологія</w:t>
      </w:r>
    </w:p>
    <w:p>
      <w:pPr>
        <w:spacing w:line="360" w:lineRule="auto"/>
        <w:rPr>
          <w:rFonts w:ascii="Times New Roman" w:hAnsi="Times New Roman" w:eastAsia="Times New Roman"/>
          <w:b/>
          <w:bCs/>
          <w:sz w:val="28"/>
          <w:szCs w:val="28"/>
        </w:rPr>
      </w:pPr>
      <w:r>
        <w:rPr>
          <w:rFonts w:ascii="Times New Roman" w:hAnsi="Times New Roman" w:eastAsia="Times New Roman"/>
          <w:b/>
          <w:bCs/>
          <w:sz w:val="28"/>
          <w:szCs w:val="28"/>
        </w:rPr>
        <w:t>Спеціалізація 035.043 германські мови та літератури (переклад включно), перша – німецька </w:t>
      </w:r>
    </w:p>
    <w:p>
      <w:pPr>
        <w:rPr>
          <w:rFonts w:ascii="Times New Roman" w:hAnsi="Times New Roman" w:eastAsia="Times New Roman"/>
          <w:lang w:val="en-US"/>
        </w:rPr>
      </w:pPr>
      <w:r>
        <w:rPr>
          <w:rFonts w:ascii="Times New Roman" w:hAnsi="Times New Roman" w:eastAsia="Times New Roman"/>
          <w:b/>
          <w:bCs/>
          <w:sz w:val="28"/>
          <w:szCs w:val="28"/>
        </w:rPr>
        <w:t>Освітня програма: Переклад (німецька та друга іноземні мови)</w:t>
      </w:r>
    </w:p>
    <w:p>
      <w:pPr>
        <w:spacing w:line="360" w:lineRule="auto"/>
        <w:rPr>
          <w:rFonts w:ascii="Times New Roman" w:hAnsi="Times New Roman" w:eastAsia="Times New Roman"/>
          <w:b/>
          <w:bCs/>
          <w:sz w:val="28"/>
          <w:szCs w:val="28"/>
        </w:rPr>
      </w:pPr>
    </w:p>
    <w:p>
      <w:pPr>
        <w:spacing w:line="360" w:lineRule="auto"/>
        <w:rPr>
          <w:rFonts w:ascii="Times New Roman" w:hAnsi="Times New Roman" w:eastAsia="Times New Roman"/>
          <w:b/>
          <w:bCs/>
          <w:sz w:val="28"/>
          <w:szCs w:val="28"/>
        </w:rPr>
      </w:pPr>
    </w:p>
    <w:p>
      <w:pPr>
        <w:pStyle w:val="7"/>
        <w:jc w:val="center"/>
        <w:textAlignment w:val="baseline"/>
        <w:rPr>
          <w:rFonts w:eastAsia="Times New Roman"/>
          <w:b/>
          <w:color w:val="000000"/>
          <w:sz w:val="32"/>
          <w:szCs w:val="32"/>
        </w:rPr>
      </w:pPr>
    </w:p>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rPr>
          <w:rFonts w:ascii="Times New Roman" w:hAnsi="Times New Roman"/>
          <w:b/>
          <w:bCs/>
          <w:lang w:val="en-US"/>
        </w:rPr>
      </w:pPr>
    </w:p>
    <w:p>
      <w:pPr>
        <w:widowControl w:val="0"/>
        <w:autoSpaceDE w:val="0"/>
        <w:autoSpaceDN w:val="0"/>
        <w:adjustRightInd w:val="0"/>
        <w:rPr>
          <w:rFonts w:ascii="Times New Roman" w:hAnsi="Times New Roman"/>
          <w:b/>
          <w:bCs/>
          <w:lang w:val="en-US"/>
        </w:rPr>
      </w:pPr>
    </w:p>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jc w:val="center"/>
        <w:rPr>
          <w:rFonts w:ascii="Times New Roman" w:hAnsi="Times New Roman"/>
          <w:b/>
          <w:bCs/>
          <w:lang w:val="en-US"/>
        </w:rPr>
      </w:pPr>
    </w:p>
    <w:p>
      <w:pPr>
        <w:jc w:val="center"/>
        <w:outlineLvl w:val="0"/>
        <w:rPr>
          <w:rFonts w:ascii="Times New Roman" w:hAnsi="Times New Roman"/>
          <w:b/>
          <w:bCs/>
          <w:lang w:val="en-US"/>
        </w:rPr>
      </w:pPr>
      <w:r>
        <w:rPr>
          <w:rFonts w:ascii="Times New Roman" w:hAnsi="Times New Roman"/>
          <w:b/>
          <w:bCs/>
          <w:lang w:val="en-US"/>
        </w:rPr>
        <w:t xml:space="preserve">Львів 2020 </w:t>
      </w:r>
    </w:p>
    <w:p>
      <w:pPr>
        <w:jc w:val="center"/>
        <w:rPr>
          <w:rFonts w:ascii="Times New Roman" w:hAnsi="Times New Roman"/>
          <w:b/>
          <w:bCs/>
          <w:lang w:val="en-US"/>
        </w:rPr>
      </w:pPr>
      <w:r>
        <w:rPr>
          <w:rFonts w:ascii="Times New Roman" w:hAnsi="Times New Roman"/>
          <w:b/>
          <w:bCs/>
          <w:lang w:val="en-US"/>
        </w:rPr>
        <w:br w:type="page"/>
      </w:r>
      <w:r>
        <w:rPr>
          <w:rFonts w:ascii="Times New Roman" w:hAnsi="Times New Roman"/>
          <w:b/>
          <w:bCs/>
          <w:lang w:val="en-US"/>
        </w:rPr>
        <w:t>Силабус курсу «Риторика»</w:t>
      </w:r>
    </w:p>
    <w:p>
      <w:pPr>
        <w:widowControl w:val="0"/>
        <w:autoSpaceDE w:val="0"/>
        <w:autoSpaceDN w:val="0"/>
        <w:adjustRightInd w:val="0"/>
        <w:jc w:val="center"/>
        <w:rPr>
          <w:rFonts w:ascii="Times New Roman" w:hAnsi="Times New Roman"/>
          <w:b/>
          <w:bCs/>
          <w:lang w:val="en-US"/>
        </w:rPr>
      </w:pPr>
      <w:r>
        <w:rPr>
          <w:rFonts w:ascii="Times New Roman" w:hAnsi="Times New Roman"/>
          <w:b/>
          <w:bCs/>
          <w:lang w:val="en-US"/>
        </w:rPr>
        <w:t>2020/2021 навчального року</w:t>
      </w:r>
    </w:p>
    <w:p>
      <w:pPr>
        <w:widowControl w:val="0"/>
        <w:autoSpaceDE w:val="0"/>
        <w:autoSpaceDN w:val="0"/>
        <w:adjustRightInd w:val="0"/>
        <w:jc w:val="center"/>
        <w:rPr>
          <w:rFonts w:ascii="Times New Roman" w:hAnsi="Times New Roman"/>
          <w:b/>
          <w:bCs/>
          <w:lang w:val="en-US"/>
        </w:rPr>
      </w:pPr>
    </w:p>
    <w:tbl>
      <w:tblPr>
        <w:tblStyle w:val="4"/>
        <w:tblW w:w="0" w:type="auto"/>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8"/>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center"/>
              <w:rPr>
                <w:rFonts w:ascii="Times New Roman" w:hAnsi="Times New Roman"/>
                <w:b/>
                <w:bCs/>
                <w:lang w:val="en-US"/>
              </w:rPr>
            </w:pPr>
            <w:r>
              <w:rPr>
                <w:rFonts w:ascii="Times New Roman" w:hAnsi="Times New Roman"/>
                <w:b/>
                <w:bCs/>
                <w:lang w:val="en-US"/>
              </w:rPr>
              <w:t>Назва курсу</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lang w:val="en-US"/>
              </w:rPr>
            </w:pPr>
            <w:r>
              <w:rPr>
                <w:rFonts w:ascii="Times New Roman" w:hAnsi="Times New Roman"/>
                <w:b/>
                <w:bCs/>
                <w:lang w:val="en-US"/>
              </w:rPr>
              <w:t>Риторика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center"/>
              <w:rPr>
                <w:rFonts w:ascii="Times New Roman" w:hAnsi="Times New Roman"/>
                <w:b/>
                <w:bCs/>
                <w:lang w:val="en-US"/>
              </w:rPr>
            </w:pPr>
            <w:r>
              <w:rPr>
                <w:rFonts w:ascii="Times New Roman" w:hAnsi="Times New Roman"/>
                <w:b/>
                <w:bCs/>
                <w:lang w:val="en-US"/>
              </w:rPr>
              <w:t>Адреса викладання курсу</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Львівський національний університет імені Івана Франка, м. Львів, вул. Університетська,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center"/>
              <w:rPr>
                <w:rFonts w:ascii="Times New Roman" w:hAnsi="Times New Roman"/>
                <w:b/>
                <w:bCs/>
                <w:lang w:val="en-US"/>
              </w:rPr>
            </w:pPr>
            <w:r>
              <w:rPr>
                <w:rFonts w:ascii="Times New Roman" w:hAnsi="Times New Roman"/>
                <w:b/>
                <w:bCs/>
                <w:lang w:val="en-US"/>
              </w:rPr>
              <w:t>Факультет та кафедра, за якою закріплена дисципліна</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 xml:space="preserve">Факультет іноземних мов, </w:t>
            </w:r>
          </w:p>
          <w:p>
            <w:pPr>
              <w:widowControl w:val="0"/>
              <w:autoSpaceDE w:val="0"/>
              <w:autoSpaceDN w:val="0"/>
              <w:adjustRightInd w:val="0"/>
              <w:jc w:val="both"/>
              <w:rPr>
                <w:rFonts w:ascii="Times New Roman" w:hAnsi="Times New Roman"/>
                <w:lang w:val="en-US"/>
              </w:rPr>
            </w:pPr>
            <w:r>
              <w:rPr>
                <w:rFonts w:ascii="Times New Roman" w:hAnsi="Times New Roman"/>
                <w:lang w:val="en-US"/>
              </w:rPr>
              <w:t>кафедра міжкультурної комунікації та перекладу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center"/>
              <w:rPr>
                <w:rFonts w:ascii="Times New Roman" w:hAnsi="Times New Roman"/>
                <w:b/>
                <w:bCs/>
                <w:lang w:val="en-US"/>
              </w:rPr>
            </w:pPr>
            <w:r>
              <w:rPr>
                <w:rFonts w:ascii="Times New Roman" w:hAnsi="Times New Roman"/>
                <w:b/>
                <w:bCs/>
                <w:lang w:val="en-US"/>
              </w:rPr>
              <w:t>Галузь знань, шифр та назва спеціальності</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i/>
                <w:iCs/>
                <w:lang w:val="en-US"/>
              </w:rPr>
            </w:pPr>
            <w:r>
              <w:rPr>
                <w:rFonts w:ascii="Times New Roman" w:hAnsi="Times New Roman"/>
                <w:lang w:val="en-US"/>
              </w:rPr>
              <w:t xml:space="preserve">Галузь знань </w:t>
            </w:r>
            <w:r>
              <w:rPr>
                <w:rFonts w:ascii="Times New Roman" w:hAnsi="Times New Roman"/>
                <w:i/>
                <w:iCs/>
                <w:lang w:val="en-US"/>
              </w:rPr>
              <w:t>03 Гуманітарні науки</w:t>
            </w:r>
          </w:p>
          <w:p>
            <w:pPr>
              <w:widowControl w:val="0"/>
              <w:autoSpaceDE w:val="0"/>
              <w:autoSpaceDN w:val="0"/>
              <w:adjustRightInd w:val="0"/>
              <w:jc w:val="both"/>
              <w:rPr>
                <w:rFonts w:ascii="Times New Roman" w:hAnsi="Times New Roman"/>
                <w:i/>
                <w:iCs/>
                <w:lang w:val="en-US"/>
              </w:rPr>
            </w:pPr>
            <w:r>
              <w:rPr>
                <w:rFonts w:ascii="Times New Roman" w:hAnsi="Times New Roman"/>
                <w:lang w:val="en-US"/>
              </w:rPr>
              <w:t xml:space="preserve">Спеціальність </w:t>
            </w:r>
            <w:r>
              <w:rPr>
                <w:rFonts w:ascii="Times New Roman" w:hAnsi="Times New Roman"/>
                <w:i/>
                <w:iCs/>
                <w:lang w:val="en-US"/>
              </w:rPr>
              <w:t>035 Філологія</w:t>
            </w:r>
          </w:p>
          <w:p>
            <w:pPr>
              <w:spacing w:line="360" w:lineRule="auto"/>
              <w:rPr>
                <w:rFonts w:ascii="Times New Roman" w:hAnsi="Times New Roman" w:eastAsia="Times New Roman"/>
                <w:b/>
                <w:bCs/>
                <w:sz w:val="28"/>
                <w:szCs w:val="28"/>
              </w:rPr>
            </w:pPr>
            <w:r>
              <w:rPr>
                <w:rFonts w:ascii="Times New Roman" w:hAnsi="Times New Roman"/>
                <w:lang w:val="en-US"/>
              </w:rPr>
              <w:t xml:space="preserve">Спеціалізація </w:t>
            </w:r>
            <w:r>
              <w:rPr>
                <w:rFonts w:ascii="Times New Roman" w:hAnsi="Times New Roman"/>
                <w:i/>
                <w:iCs/>
                <w:lang w:val="en-US"/>
              </w:rPr>
              <w:t>035.043 германські мови та літератури (переклад включно), перша – німецька </w:t>
            </w:r>
          </w:p>
        </w:tc>
      </w:tr>
    </w:tbl>
    <w:p>
      <w:pPr>
        <w:widowControl w:val="0"/>
        <w:autoSpaceDE w:val="0"/>
        <w:autoSpaceDN w:val="0"/>
        <w:adjustRightInd w:val="0"/>
        <w:jc w:val="center"/>
        <w:rPr>
          <w:rFonts w:ascii="Times New Roman" w:hAnsi="Times New Roman"/>
          <w:i/>
          <w:iCs/>
          <w:lang w:val="en-US"/>
        </w:rPr>
      </w:pPr>
    </w:p>
    <w:p>
      <w:pPr>
        <w:widowControl w:val="0"/>
        <w:autoSpaceDE w:val="0"/>
        <w:autoSpaceDN w:val="0"/>
        <w:adjustRightInd w:val="0"/>
        <w:jc w:val="center"/>
        <w:outlineLvl w:val="0"/>
        <w:rPr>
          <w:rFonts w:ascii="Times New Roman" w:hAnsi="Times New Roman"/>
          <w:b/>
          <w:bCs/>
          <w:lang w:val="en-US"/>
        </w:rPr>
      </w:pPr>
      <w:r>
        <w:rPr>
          <w:rFonts w:ascii="Times New Roman" w:hAnsi="Times New Roman"/>
          <w:b/>
          <w:bCs/>
          <w:lang w:val="en-US"/>
        </w:rPr>
        <w:t>ІНФОРМАЦІЯ ПРО ВИКЛАДАЧА</w:t>
      </w:r>
    </w:p>
    <w:tbl>
      <w:tblPr>
        <w:tblStyle w:val="4"/>
        <w:tblW w:w="0" w:type="auto"/>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03"/>
        <w:gridCol w:w="4245"/>
      </w:tblGrid>
      <w:tr>
        <w:tc>
          <w:tcPr>
            <w:tcW w:w="450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Прізвище, ім'я, по батькові</w:t>
            </w:r>
          </w:p>
        </w:tc>
        <w:tc>
          <w:tcPr>
            <w:tcW w:w="4245"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Паламар Наталя Ігорівна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0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Науковий ступінь</w:t>
            </w:r>
          </w:p>
        </w:tc>
        <w:tc>
          <w:tcPr>
            <w:tcW w:w="4245"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кандидат філологічних наук</w:t>
            </w:r>
          </w:p>
        </w:tc>
      </w:tr>
      <w:tr>
        <w:tc>
          <w:tcPr>
            <w:tcW w:w="450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Вчене звання</w:t>
            </w:r>
          </w:p>
        </w:tc>
        <w:tc>
          <w:tcPr>
            <w:tcW w:w="4245"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доцент</w:t>
            </w:r>
          </w:p>
        </w:tc>
      </w:tr>
      <w:tr>
        <w:tc>
          <w:tcPr>
            <w:tcW w:w="450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 xml:space="preserve">Посада </w:t>
            </w:r>
          </w:p>
        </w:tc>
        <w:tc>
          <w:tcPr>
            <w:tcW w:w="4245"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доцент кафедри міжкультурної комунікації та перекладу Львівського національного університет імені І. Франка</w:t>
            </w:r>
          </w:p>
        </w:tc>
      </w:tr>
      <w:tr>
        <w:tc>
          <w:tcPr>
            <w:tcW w:w="450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Місце роботи</w:t>
            </w:r>
          </w:p>
        </w:tc>
        <w:tc>
          <w:tcPr>
            <w:tcW w:w="4245"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Львівський національний університет імені І. Франка, кафедра міжкультурної комунікації та перекладу</w:t>
            </w:r>
          </w:p>
        </w:tc>
      </w:tr>
      <w:tr>
        <w:tc>
          <w:tcPr>
            <w:tcW w:w="450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Електронна адреса</w:t>
            </w:r>
          </w:p>
        </w:tc>
        <w:tc>
          <w:tcPr>
            <w:tcW w:w="4245"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fldChar w:fldCharType="begin"/>
            </w:r>
            <w:r>
              <w:instrText xml:space="preserve"> HYPERLINK "mailto:nataliya.palamar@lnu.edu.ua" </w:instrText>
            </w:r>
            <w:r>
              <w:fldChar w:fldCharType="separate"/>
            </w:r>
            <w:r>
              <w:rPr>
                <w:rFonts w:ascii="Times New Roman" w:hAnsi="Times New Roman"/>
                <w:lang w:val="en-US"/>
              </w:rPr>
              <w:t>nataliya.palamar@lnu.edu.ua</w:t>
            </w:r>
            <w:r>
              <w:rPr>
                <w:rFonts w:ascii="Times New Roman" w:hAnsi="Times New Roman"/>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1" w:hRule="atLeast"/>
        </w:trPr>
        <w:tc>
          <w:tcPr>
            <w:tcW w:w="450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Сторінка викладача</w:t>
            </w:r>
          </w:p>
        </w:tc>
        <w:tc>
          <w:tcPr>
            <w:tcW w:w="4245"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https://lingua.lnu.edu.ua/en/employee/natalya-palamar</w:t>
            </w:r>
          </w:p>
        </w:tc>
      </w:tr>
    </w:tbl>
    <w:p>
      <w:pPr>
        <w:widowControl w:val="0"/>
        <w:autoSpaceDE w:val="0"/>
        <w:autoSpaceDN w:val="0"/>
        <w:adjustRightInd w:val="0"/>
        <w:jc w:val="center"/>
        <w:rPr>
          <w:rFonts w:ascii="Times New Roman" w:hAnsi="Times New Roman"/>
          <w:b/>
          <w:bCs/>
          <w:lang w:val="en-US"/>
        </w:rPr>
      </w:pPr>
    </w:p>
    <w:p>
      <w:pPr>
        <w:widowControl w:val="0"/>
        <w:autoSpaceDE w:val="0"/>
        <w:autoSpaceDN w:val="0"/>
        <w:adjustRightInd w:val="0"/>
        <w:jc w:val="center"/>
        <w:outlineLvl w:val="0"/>
        <w:rPr>
          <w:rFonts w:ascii="Times New Roman" w:hAnsi="Times New Roman"/>
          <w:b/>
          <w:bCs/>
          <w:lang w:val="en-US"/>
        </w:rPr>
      </w:pPr>
      <w:r>
        <w:rPr>
          <w:rFonts w:ascii="Times New Roman" w:hAnsi="Times New Roman"/>
          <w:b/>
          <w:bCs/>
          <w:lang w:val="en-US"/>
        </w:rPr>
        <w:t xml:space="preserve">КОНСУЛЬТАЦІЇ </w:t>
      </w:r>
    </w:p>
    <w:tbl>
      <w:tblPr>
        <w:tblStyle w:val="4"/>
        <w:tblW w:w="0" w:type="auto"/>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8"/>
        <w:gridCol w:w="4320"/>
      </w:tblGrid>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Час</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lang w:val="en-US"/>
              </w:rPr>
            </w:pPr>
            <w:r>
              <w:rPr>
                <w:rFonts w:ascii="Times New Roman" w:hAnsi="Times New Roman"/>
                <w:lang w:val="en-US"/>
              </w:rPr>
              <w:t xml:space="preserve">В день лекційних занять (за попередньою домовленістю) </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Місце</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Львівський національний університет імені І. Франка, кафедра німецької філології (м. Львів, вул. Університетська, 1, каб. 417)</w:t>
            </w:r>
          </w:p>
        </w:tc>
      </w:tr>
    </w:tbl>
    <w:p>
      <w:pPr>
        <w:widowControl w:val="0"/>
        <w:autoSpaceDE w:val="0"/>
        <w:autoSpaceDN w:val="0"/>
        <w:adjustRightInd w:val="0"/>
        <w:jc w:val="center"/>
        <w:rPr>
          <w:rFonts w:ascii="Times New Roman" w:hAnsi="Times New Roman"/>
          <w:lang w:val="en-US"/>
        </w:rPr>
      </w:pPr>
    </w:p>
    <w:p>
      <w:pPr>
        <w:tabs>
          <w:tab w:val="left" w:pos="3580"/>
        </w:tabs>
        <w:rPr>
          <w:rFonts w:ascii="Times New Roman" w:hAnsi="Times New Roman"/>
        </w:rPr>
      </w:pPr>
      <w:r>
        <w:rPr>
          <w:rFonts w:ascii="Times New Roman" w:hAnsi="Times New Roman"/>
        </w:rPr>
        <w:br w:type="page"/>
      </w:r>
      <w:r>
        <w:rPr>
          <w:rFonts w:ascii="Times New Roman" w:hAnsi="Times New Roman"/>
        </w:rPr>
        <w:tab/>
      </w:r>
    </w:p>
    <w:p>
      <w:pPr>
        <w:widowControl w:val="0"/>
        <w:autoSpaceDE w:val="0"/>
        <w:autoSpaceDN w:val="0"/>
        <w:adjustRightInd w:val="0"/>
        <w:jc w:val="center"/>
        <w:outlineLvl w:val="0"/>
        <w:rPr>
          <w:rFonts w:ascii="Times New Roman" w:hAnsi="Times New Roman"/>
          <w:b/>
          <w:bCs/>
          <w:lang w:val="en-US"/>
        </w:rPr>
      </w:pPr>
      <w:r>
        <w:rPr>
          <w:rFonts w:ascii="Times New Roman" w:hAnsi="Times New Roman"/>
          <w:b/>
          <w:bCs/>
          <w:lang w:val="en-US"/>
        </w:rPr>
        <w:t>ІНФОРМАЦІЯ ПРО КУРС</w:t>
      </w:r>
    </w:p>
    <w:tbl>
      <w:tblPr>
        <w:tblStyle w:val="4"/>
        <w:tblW w:w="9889" w:type="dxa"/>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43"/>
        <w:gridCol w:w="6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0" w:hRule="atLeast"/>
        </w:trPr>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lang w:val="en-US"/>
              </w:rPr>
            </w:pPr>
            <w:r>
              <w:rPr>
                <w:rFonts w:ascii="Times New Roman" w:hAnsi="Times New Roman"/>
                <w:b/>
                <w:bCs/>
                <w:lang w:val="en-US"/>
              </w:rPr>
              <w:t>Сторінка курсу</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https://lingua.lnu.edu.ua/course/rytoryka-3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Коротка анотація курсу</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lang w:val="en-US"/>
              </w:rPr>
              <w:t>Дисципліна «</w:t>
            </w:r>
            <w:r>
              <w:rPr>
                <w:rFonts w:ascii="Times New Roman" w:hAnsi="Times New Roman"/>
              </w:rPr>
              <w:t>Риторика</w:t>
            </w:r>
            <w:r>
              <w:rPr>
                <w:rFonts w:ascii="Times New Roman" w:hAnsi="Times New Roman"/>
                <w:lang w:val="en-US"/>
              </w:rPr>
              <w:t>» є обов’язковою для вивчення дисципліною зі спеціальності 035 Філологія для освітньої програми ОС «бакалавр», яка викладається на 6 семестрі в обсязі 3 кредитів (за Європейською Кредитно-Трансферною Системою ECTS).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Мета та цілі курсу</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lang w:val="en-US"/>
              </w:rPr>
            </w:pPr>
            <w:r>
              <w:rPr>
                <w:rFonts w:ascii="Times New Roman" w:hAnsi="Times New Roman"/>
                <w:b/>
                <w:lang w:val="en-US"/>
              </w:rPr>
              <w:t>Мета</w:t>
            </w:r>
            <w:r>
              <w:rPr>
                <w:rFonts w:ascii="Times New Roman" w:hAnsi="Times New Roman"/>
                <w:lang w:val="en-US"/>
              </w:rPr>
              <w:t xml:space="preserve"> курсу «Риторика»: допомогти студенту в оволодінні культурою мовлення як найважливішим засобом навчання, виховання, розвитку молоді, основним інструментом професійної діяльності педагога, яка носить комунікативний характер. Він формує знання студентів. </w:t>
            </w:r>
          </w:p>
          <w:p>
            <w:pPr>
              <w:widowControl w:val="0"/>
              <w:autoSpaceDE w:val="0"/>
              <w:autoSpaceDN w:val="0"/>
              <w:adjustRightInd w:val="0"/>
              <w:jc w:val="both"/>
              <w:rPr>
                <w:rFonts w:ascii="Times New Roman" w:hAnsi="Times New Roman"/>
                <w:lang w:val="en-US"/>
              </w:rPr>
            </w:pPr>
            <w:r>
              <w:rPr>
                <w:rFonts w:ascii="Times New Roman" w:hAnsi="Times New Roman"/>
                <w:b/>
                <w:lang w:val="en-US"/>
              </w:rPr>
              <w:t>Завдання</w:t>
            </w:r>
            <w:r>
              <w:rPr>
                <w:rFonts w:ascii="Times New Roman" w:hAnsi="Times New Roman"/>
                <w:lang w:val="en-US"/>
              </w:rPr>
              <w:t xml:space="preserve"> дисципліни:</w:t>
            </w:r>
          </w:p>
          <w:p>
            <w:pPr>
              <w:pStyle w:val="6"/>
              <w:widowControl w:val="0"/>
              <w:numPr>
                <w:ilvl w:val="0"/>
                <w:numId w:val="1"/>
              </w:numPr>
              <w:tabs>
                <w:tab w:val="clear" w:pos="1080"/>
              </w:tabs>
              <w:autoSpaceDE w:val="0"/>
              <w:autoSpaceDN w:val="0"/>
              <w:adjustRightInd w:val="0"/>
              <w:ind w:left="459" w:hanging="283"/>
              <w:jc w:val="both"/>
              <w:rPr>
                <w:rFonts w:ascii="Times New Roman" w:hAnsi="Times New Roman"/>
                <w:lang w:val="en-US"/>
              </w:rPr>
            </w:pPr>
            <w:r>
              <w:rPr>
                <w:rFonts w:ascii="Times New Roman" w:hAnsi="Times New Roman"/>
                <w:lang w:val="en-US"/>
              </w:rPr>
              <w:t>вивчення видів ораторського мистецтва, стилів мовлення.</w:t>
            </w:r>
          </w:p>
          <w:p>
            <w:pPr>
              <w:pStyle w:val="6"/>
              <w:widowControl w:val="0"/>
              <w:numPr>
                <w:ilvl w:val="0"/>
                <w:numId w:val="1"/>
              </w:numPr>
              <w:tabs>
                <w:tab w:val="clear" w:pos="1080"/>
              </w:tabs>
              <w:autoSpaceDE w:val="0"/>
              <w:autoSpaceDN w:val="0"/>
              <w:adjustRightInd w:val="0"/>
              <w:ind w:left="459" w:hanging="283"/>
              <w:jc w:val="both"/>
              <w:rPr>
                <w:rFonts w:ascii="Times New Roman" w:hAnsi="Times New Roman"/>
                <w:lang w:val="en-US"/>
              </w:rPr>
            </w:pPr>
            <w:r>
              <w:rPr>
                <w:rFonts w:ascii="Times New Roman" w:hAnsi="Times New Roman"/>
                <w:lang w:val="en-US"/>
              </w:rPr>
              <w:t>опрацювання теорії ораторського мистецтва.</w:t>
            </w:r>
          </w:p>
          <w:p>
            <w:pPr>
              <w:pStyle w:val="6"/>
              <w:widowControl w:val="0"/>
              <w:numPr>
                <w:ilvl w:val="0"/>
                <w:numId w:val="1"/>
              </w:numPr>
              <w:tabs>
                <w:tab w:val="clear" w:pos="1080"/>
              </w:tabs>
              <w:autoSpaceDE w:val="0"/>
              <w:autoSpaceDN w:val="0"/>
              <w:adjustRightInd w:val="0"/>
              <w:ind w:left="459" w:hanging="283"/>
              <w:jc w:val="both"/>
              <w:rPr>
                <w:rFonts w:ascii="Times New Roman" w:hAnsi="Times New Roman"/>
                <w:lang w:val="en-US"/>
              </w:rPr>
            </w:pPr>
            <w:r>
              <w:rPr>
                <w:rFonts w:ascii="Times New Roman" w:hAnsi="Times New Roman"/>
                <w:lang w:val="en-US"/>
              </w:rPr>
              <w:t>ознайомлення із критеріями культури мови, різновидами невербальної комунікації.</w:t>
            </w:r>
          </w:p>
          <w:p>
            <w:pPr>
              <w:pStyle w:val="6"/>
              <w:widowControl w:val="0"/>
              <w:numPr>
                <w:ilvl w:val="0"/>
                <w:numId w:val="1"/>
              </w:numPr>
              <w:tabs>
                <w:tab w:val="clear" w:pos="1080"/>
              </w:tabs>
              <w:autoSpaceDE w:val="0"/>
              <w:autoSpaceDN w:val="0"/>
              <w:adjustRightInd w:val="0"/>
              <w:ind w:left="459" w:hanging="283"/>
              <w:jc w:val="both"/>
              <w:rPr>
                <w:rFonts w:ascii="Times New Roman" w:hAnsi="Times New Roman"/>
                <w:lang w:val="en-US"/>
              </w:rPr>
            </w:pPr>
            <w:r>
              <w:rPr>
                <w:rFonts w:ascii="Times New Roman" w:hAnsi="Times New Roman"/>
                <w:lang w:val="en-US"/>
              </w:rPr>
              <w:t xml:space="preserve">з’ясування та набуття ораторських вмінь і навичок у контексті професійної діяльності.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lang w:val="en-US"/>
              </w:rPr>
            </w:pPr>
            <w:r>
              <w:rPr>
                <w:rFonts w:ascii="Times New Roman" w:hAnsi="Times New Roman"/>
                <w:b/>
                <w:bCs/>
                <w:lang w:val="en-US"/>
              </w:rPr>
              <w:t>Література для вивчення дисципліни</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center"/>
              <w:rPr>
                <w:rFonts w:ascii="Times New Roman" w:hAnsi="Times New Roman"/>
                <w:b/>
                <w:bCs/>
                <w:i/>
                <w:iCs/>
                <w:spacing w:val="-6"/>
                <w:kern w:val="1"/>
                <w:lang w:val="en-US"/>
              </w:rPr>
            </w:pPr>
            <w:r>
              <w:rPr>
                <w:rFonts w:ascii="Times New Roman" w:hAnsi="Times New Roman"/>
                <w:b/>
                <w:bCs/>
                <w:i/>
                <w:iCs/>
                <w:spacing w:val="-6"/>
                <w:kern w:val="1"/>
                <w:lang w:val="en-US"/>
              </w:rPr>
              <w:t>Основна</w:t>
            </w:r>
          </w:p>
          <w:p>
            <w:pPr>
              <w:widowControl w:val="0"/>
              <w:autoSpaceDE w:val="0"/>
              <w:autoSpaceDN w:val="0"/>
              <w:adjustRightInd w:val="0"/>
              <w:jc w:val="both"/>
              <w:rPr>
                <w:rFonts w:ascii="Times New Roman" w:hAnsi="Times New Roman"/>
                <w:highlight w:val="yellow"/>
                <w:lang w:val="en-US"/>
              </w:rPr>
            </w:pPr>
          </w:p>
          <w:p>
            <w:pPr>
              <w:pStyle w:val="2"/>
              <w:numPr>
                <w:ilvl w:val="0"/>
                <w:numId w:val="2"/>
              </w:numPr>
            </w:pPr>
            <w:r>
              <w:t>Абрамович С. Д., Чікарькова М. Ю. Риторика. – Львів, 2001. – с. 437.</w:t>
            </w:r>
          </w:p>
          <w:p>
            <w:pPr>
              <w:pStyle w:val="2"/>
              <w:numPr>
                <w:ilvl w:val="0"/>
                <w:numId w:val="2"/>
              </w:numPr>
            </w:pPr>
            <w:r>
              <w:t xml:space="preserve">Антоненко-Давидович Б. Як ми говоримо. </w:t>
            </w:r>
            <w:r>
              <w:rPr>
                <w:b/>
                <w:bCs/>
              </w:rPr>
              <w:t xml:space="preserve">– </w:t>
            </w:r>
            <w:r>
              <w:t>К., 1970. – с. 245.</w:t>
            </w:r>
          </w:p>
          <w:p>
            <w:pPr>
              <w:pStyle w:val="2"/>
              <w:numPr>
                <w:ilvl w:val="0"/>
                <w:numId w:val="2"/>
              </w:numPr>
            </w:pPr>
            <w:r>
              <w:t xml:space="preserve">Бабич Н. Д. Основи культури мовлення. </w:t>
            </w:r>
            <w:r>
              <w:rPr>
                <w:b/>
                <w:bCs/>
              </w:rPr>
              <w:t xml:space="preserve">– </w:t>
            </w:r>
            <w:r>
              <w:t xml:space="preserve">Львів, 1990. – с. 322. </w:t>
            </w:r>
          </w:p>
          <w:p>
            <w:pPr>
              <w:pStyle w:val="2"/>
              <w:numPr>
                <w:ilvl w:val="0"/>
                <w:numId w:val="2"/>
              </w:numPr>
            </w:pPr>
            <w:r>
              <w:t>Богдан С. К. Мовний етикет українців: традиції і сучасність. — К., 1998. – с. 231.</w:t>
            </w:r>
          </w:p>
          <w:p>
            <w:pPr>
              <w:pStyle w:val="2"/>
              <w:numPr>
                <w:ilvl w:val="0"/>
                <w:numId w:val="2"/>
              </w:numPr>
            </w:pPr>
            <w:r>
              <w:t xml:space="preserve">Бутенко Н. Ю. Комунікативні процеси у навчанні: Підручн. – Вид. 2-ге, без змін. – К.: КНЕУ, 2006. – 384 с. </w:t>
            </w:r>
          </w:p>
          <w:p>
            <w:pPr>
              <w:pStyle w:val="2"/>
              <w:numPr>
                <w:ilvl w:val="0"/>
                <w:numId w:val="2"/>
              </w:numPr>
              <w:spacing w:before="0" w:beforeAutospacing="0" w:after="0" w:afterAutospacing="0"/>
              <w:ind w:left="714" w:hanging="357"/>
            </w:pPr>
            <w:r>
              <w:t xml:space="preserve">Вандишев В. М. Риторика: екскурс в історію вчень і понять: Навч. посібн. – К: Кондор, 2006. – 264 с. </w:t>
            </w:r>
          </w:p>
          <w:p>
            <w:pPr>
              <w:pStyle w:val="2"/>
              <w:numPr>
                <w:ilvl w:val="0"/>
                <w:numId w:val="2"/>
              </w:numPr>
              <w:spacing w:before="0" w:beforeAutospacing="0" w:after="0" w:afterAutospacing="0"/>
              <w:ind w:left="714" w:hanging="357"/>
            </w:pPr>
            <w:r>
              <w:t>Корняка О. Мистецтво ґречності. –</w:t>
            </w:r>
            <w:r>
              <w:rPr>
                <w:b/>
                <w:bCs/>
              </w:rPr>
              <w:t xml:space="preserve"> </w:t>
            </w:r>
            <w:r>
              <w:t xml:space="preserve">К., 1995. </w:t>
            </w:r>
          </w:p>
          <w:p>
            <w:pPr>
              <w:pStyle w:val="2"/>
              <w:numPr>
                <w:ilvl w:val="0"/>
                <w:numId w:val="2"/>
              </w:numPr>
              <w:spacing w:before="0" w:beforeAutospacing="0" w:after="0" w:afterAutospacing="0"/>
              <w:ind w:left="714" w:hanging="357"/>
            </w:pPr>
            <w:r>
              <w:t>Культура української мови: Довідник / За ред. В. Русанівського. –</w:t>
            </w:r>
            <w:r>
              <w:rPr>
                <w:b/>
                <w:bCs/>
              </w:rPr>
              <w:t xml:space="preserve"> </w:t>
            </w:r>
            <w:r>
              <w:t xml:space="preserve">К., 1990. </w:t>
            </w:r>
          </w:p>
          <w:p>
            <w:pPr>
              <w:pStyle w:val="2"/>
              <w:numPr>
                <w:ilvl w:val="0"/>
                <w:numId w:val="2"/>
              </w:numPr>
              <w:spacing w:before="0" w:beforeAutospacing="0" w:after="0" w:afterAutospacing="0"/>
              <w:ind w:left="714" w:hanging="357"/>
            </w:pPr>
            <w:r>
              <w:t xml:space="preserve">Коваленко С. М. Сучасна риторика: Навчально-практичний посібник. – Тернопіль: Мандрівець, 2007. – 184 с. </w:t>
            </w:r>
          </w:p>
          <w:p>
            <w:pPr>
              <w:pStyle w:val="2"/>
              <w:numPr>
                <w:ilvl w:val="0"/>
                <w:numId w:val="3"/>
              </w:numPr>
              <w:spacing w:before="0" w:beforeAutospacing="0" w:after="0" w:afterAutospacing="0"/>
              <w:ind w:left="714" w:hanging="357"/>
            </w:pPr>
            <w:r>
              <w:t xml:space="preserve">Колотілова Н. А. Риторика: Навч. посібн. – К.: Центр учб. літератури, 2007. – 232 с. </w:t>
            </w:r>
          </w:p>
          <w:p>
            <w:pPr>
              <w:pStyle w:val="2"/>
              <w:numPr>
                <w:ilvl w:val="0"/>
                <w:numId w:val="3"/>
              </w:numPr>
              <w:spacing w:before="0" w:beforeAutospacing="0" w:after="0" w:afterAutospacing="0"/>
              <w:ind w:left="714" w:hanging="357"/>
            </w:pPr>
            <w:r>
              <w:rPr>
                <w:color w:val="000000"/>
              </w:rPr>
              <w:t>Мацько Л</w:t>
            </w:r>
            <w:r>
              <w:rPr>
                <w:rStyle w:val="8"/>
                <w:b/>
                <w:bCs/>
                <w:color w:val="000000"/>
              </w:rPr>
              <w:t>.</w:t>
            </w:r>
            <w:r>
              <w:rPr>
                <w:rStyle w:val="5"/>
                <w:b/>
                <w:bCs/>
                <w:color w:val="000000"/>
              </w:rPr>
              <w:t> </w:t>
            </w:r>
            <w:r>
              <w:rPr>
                <w:color w:val="000000"/>
              </w:rPr>
              <w:t>І</w:t>
            </w:r>
            <w:r>
              <w:rPr>
                <w:rStyle w:val="8"/>
                <w:b/>
                <w:bCs/>
                <w:color w:val="000000"/>
              </w:rPr>
              <w:t>.,</w:t>
            </w:r>
            <w:r>
              <w:rPr>
                <w:rStyle w:val="5"/>
                <w:b/>
                <w:bCs/>
                <w:color w:val="000000"/>
              </w:rPr>
              <w:t> </w:t>
            </w:r>
            <w:r>
              <w:rPr>
                <w:color w:val="000000"/>
              </w:rPr>
              <w:t>Мацько О</w:t>
            </w:r>
            <w:r>
              <w:rPr>
                <w:rStyle w:val="8"/>
                <w:b/>
                <w:bCs/>
                <w:color w:val="000000"/>
              </w:rPr>
              <w:t>.</w:t>
            </w:r>
            <w:r>
              <w:rPr>
                <w:rStyle w:val="5"/>
                <w:b/>
                <w:bCs/>
                <w:color w:val="000000"/>
              </w:rPr>
              <w:t> </w:t>
            </w:r>
            <w:r>
              <w:rPr>
                <w:color w:val="000000"/>
              </w:rPr>
              <w:t>М</w:t>
            </w:r>
            <w:r>
              <w:rPr>
                <w:rStyle w:val="8"/>
                <w:b/>
                <w:bCs/>
                <w:color w:val="000000"/>
              </w:rPr>
              <w:t xml:space="preserve">. </w:t>
            </w:r>
            <w:r>
              <w:rPr>
                <w:color w:val="000000"/>
              </w:rPr>
              <w:t>Риторика: Навч. посіб. — К.: Вища шк., 2003. — 311 с.</w:t>
            </w:r>
            <w:r>
              <w:rPr>
                <w:rStyle w:val="5"/>
                <w:color w:val="000000"/>
              </w:rPr>
              <w:t> </w:t>
            </w:r>
          </w:p>
          <w:p>
            <w:pPr>
              <w:pStyle w:val="2"/>
              <w:numPr>
                <w:ilvl w:val="0"/>
                <w:numId w:val="3"/>
              </w:numPr>
              <w:spacing w:before="0" w:beforeAutospacing="0" w:after="0" w:afterAutospacing="0"/>
              <w:ind w:left="714" w:hanging="357"/>
            </w:pPr>
            <w:r>
              <w:t xml:space="preserve">Навчальний посібник з курсів «Онови риторики» і «Професійна риторика» / Укл. І. Гузенко. – Львів: ЛДУФК, 2006. – 76 с. </w:t>
            </w:r>
          </w:p>
          <w:p>
            <w:pPr>
              <w:pStyle w:val="2"/>
              <w:numPr>
                <w:ilvl w:val="0"/>
                <w:numId w:val="3"/>
              </w:numPr>
            </w:pPr>
            <w:r>
              <w:t xml:space="preserve">Онуфрієнко Г. С. Риторика: Навч. посібн. – К.: Центр учб. літератури, 2008. – 592 с. </w:t>
            </w:r>
          </w:p>
          <w:p>
            <w:pPr>
              <w:pStyle w:val="2"/>
              <w:numPr>
                <w:ilvl w:val="0"/>
                <w:numId w:val="3"/>
              </w:numPr>
            </w:pPr>
            <w:r>
              <w:t xml:space="preserve">Олійник О. Б. Основи ораторської майстерності: Навч.посібн. – К.: Кондор, 2010. – 181 с. </w:t>
            </w:r>
          </w:p>
          <w:p>
            <w:pPr>
              <w:pStyle w:val="2"/>
              <w:numPr>
                <w:ilvl w:val="0"/>
                <w:numId w:val="3"/>
              </w:numPr>
            </w:pPr>
            <w:r>
              <w:t xml:space="preserve">Олійник О. Б. Риторика: Навч. посібн. – К.: Кондор, 2009. – 170 с. </w:t>
            </w:r>
          </w:p>
          <w:p>
            <w:pPr>
              <w:pStyle w:val="2"/>
              <w:numPr>
                <w:ilvl w:val="0"/>
                <w:numId w:val="3"/>
              </w:numPr>
            </w:pPr>
            <w:r>
              <w:t xml:space="preserve">Олійник О. Б. Сучасна ділова риторика: Навч. посібн. – К.: Кондор, 2010. – 166 с. </w:t>
            </w:r>
          </w:p>
          <w:p>
            <w:pPr>
              <w:pStyle w:val="2"/>
              <w:numPr>
                <w:ilvl w:val="0"/>
                <w:numId w:val="3"/>
              </w:numPr>
            </w:pPr>
            <w:r>
              <w:t xml:space="preserve">Програми з курсів «Основи риторики» та «Професійна риторика» / Укл. І. Гузенко. – Львів: ЛДУФК, 2006. – 148 с. </w:t>
            </w:r>
          </w:p>
          <w:p>
            <w:pPr>
              <w:ind w:left="436"/>
              <w:jc w:val="both"/>
              <w:rPr>
                <w:rFonts w:ascii="Times New Roman" w:hAnsi="Times New Roman"/>
                <w:color w:val="000000"/>
              </w:rPr>
            </w:pPr>
          </w:p>
          <w:p>
            <w:pPr>
              <w:widowControl w:val="0"/>
              <w:autoSpaceDE w:val="0"/>
              <w:autoSpaceDN w:val="0"/>
              <w:adjustRightInd w:val="0"/>
              <w:rPr>
                <w:rFonts w:ascii="Times New Roman" w:hAnsi="Times New Roman"/>
                <w:b/>
                <w:bCs/>
                <w:i/>
                <w:iCs/>
                <w:spacing w:val="-6"/>
                <w:kern w:val="1"/>
                <w:lang w:val="en-US"/>
              </w:rPr>
            </w:pPr>
          </w:p>
          <w:p>
            <w:pPr>
              <w:widowControl w:val="0"/>
              <w:autoSpaceDE w:val="0"/>
              <w:autoSpaceDN w:val="0"/>
              <w:adjustRightInd w:val="0"/>
              <w:jc w:val="center"/>
              <w:rPr>
                <w:rFonts w:ascii="Times New Roman" w:hAnsi="Times New Roman"/>
                <w:b/>
                <w:bCs/>
                <w:i/>
                <w:iCs/>
                <w:spacing w:val="-6"/>
                <w:kern w:val="1"/>
                <w:lang w:val="en-US"/>
              </w:rPr>
            </w:pPr>
            <w:r>
              <w:rPr>
                <w:rFonts w:ascii="Times New Roman" w:hAnsi="Times New Roman"/>
                <w:b/>
                <w:bCs/>
                <w:i/>
                <w:iCs/>
                <w:spacing w:val="-6"/>
                <w:kern w:val="1"/>
                <w:lang w:val="en-US"/>
              </w:rPr>
              <w:t>Додаткова</w:t>
            </w:r>
          </w:p>
          <w:p>
            <w:pPr>
              <w:pStyle w:val="2"/>
              <w:numPr>
                <w:ilvl w:val="0"/>
                <w:numId w:val="4"/>
              </w:numPr>
              <w:rPr>
                <w:sz w:val="28"/>
              </w:rPr>
            </w:pPr>
            <w:r>
              <w:rPr>
                <w:szCs w:val="22"/>
              </w:rPr>
              <w:t>Бабич Н. Д. Основи культури мовлення. – Львів, 1990.</w:t>
            </w:r>
          </w:p>
          <w:p>
            <w:pPr>
              <w:pStyle w:val="2"/>
              <w:numPr>
                <w:ilvl w:val="0"/>
                <w:numId w:val="4"/>
              </w:numPr>
              <w:rPr>
                <w:sz w:val="28"/>
              </w:rPr>
            </w:pPr>
            <w:r>
              <w:rPr>
                <w:szCs w:val="22"/>
              </w:rPr>
              <w:t>Волкова Н. П. Педагогіка: Посібник для студентів вищих навчальних закладів. – К.: Либідь, 2001. – С. 431.</w:t>
            </w:r>
          </w:p>
          <w:p>
            <w:pPr>
              <w:pStyle w:val="2"/>
              <w:numPr>
                <w:ilvl w:val="0"/>
                <w:numId w:val="4"/>
              </w:numPr>
              <w:rPr>
                <w:sz w:val="28"/>
              </w:rPr>
            </w:pPr>
            <w:r>
              <w:rPr>
                <w:szCs w:val="22"/>
              </w:rPr>
              <w:t xml:space="preserve">Доценко Е. Л. Психология манипуляции: Феномены, механизмы и защита. М.: ТОО «Черо», 1996. </w:t>
            </w:r>
          </w:p>
          <w:p>
            <w:pPr>
              <w:pStyle w:val="2"/>
              <w:numPr>
                <w:ilvl w:val="0"/>
                <w:numId w:val="4"/>
              </w:numPr>
              <w:rPr>
                <w:sz w:val="28"/>
              </w:rPr>
            </w:pPr>
            <w:r>
              <w:rPr>
                <w:szCs w:val="22"/>
              </w:rPr>
              <w:t xml:space="preserve">Кан-Калик В.А.Тренингпрофессионально-педагогического общения. – М.,1990. </w:t>
            </w:r>
          </w:p>
          <w:p>
            <w:pPr>
              <w:pStyle w:val="2"/>
              <w:numPr>
                <w:ilvl w:val="0"/>
                <w:numId w:val="4"/>
              </w:numPr>
              <w:rPr>
                <w:sz w:val="28"/>
              </w:rPr>
            </w:pPr>
            <w:r>
              <w:rPr>
                <w:szCs w:val="22"/>
              </w:rPr>
              <w:t>Карнеги Д. Как завоевывать друзей и оказывать влияние на людей. – Л.: Лениздат, 1992.</w:t>
            </w:r>
          </w:p>
          <w:p>
            <w:pPr>
              <w:pStyle w:val="2"/>
              <w:numPr>
                <w:ilvl w:val="0"/>
                <w:numId w:val="4"/>
              </w:numPr>
              <w:rPr>
                <w:sz w:val="28"/>
              </w:rPr>
            </w:pPr>
            <w:r>
              <w:rPr>
                <w:szCs w:val="22"/>
              </w:rPr>
              <w:t>Корнєв М. Н., Коваленко Л. Б. Соціальна психологія. – К., 1995.</w:t>
            </w:r>
          </w:p>
          <w:p>
            <w:pPr>
              <w:pStyle w:val="2"/>
              <w:numPr>
                <w:ilvl w:val="0"/>
                <w:numId w:val="4"/>
              </w:numPr>
              <w:rPr>
                <w:sz w:val="28"/>
              </w:rPr>
            </w:pPr>
            <w:r>
              <w:rPr>
                <w:szCs w:val="22"/>
              </w:rPr>
              <w:t xml:space="preserve">Криксунова И. Создай свой имидж. – СПб.: Лань, 1997. </w:t>
            </w:r>
          </w:p>
          <w:p>
            <w:pPr>
              <w:pStyle w:val="2"/>
              <w:numPr>
                <w:ilvl w:val="0"/>
                <w:numId w:val="4"/>
              </w:numPr>
              <w:rPr>
                <w:sz w:val="28"/>
              </w:rPr>
            </w:pPr>
            <w:r>
              <w:rPr>
                <w:szCs w:val="22"/>
              </w:rPr>
              <w:t>Культура української мови: Довідник / За ред. В. Русанівського. – К., 1990.</w:t>
            </w:r>
          </w:p>
          <w:p>
            <w:pPr>
              <w:pStyle w:val="2"/>
              <w:numPr>
                <w:ilvl w:val="0"/>
                <w:numId w:val="4"/>
              </w:numPr>
              <w:rPr>
                <w:sz w:val="28"/>
              </w:rPr>
            </w:pPr>
            <w:r>
              <w:rPr>
                <w:szCs w:val="22"/>
              </w:rPr>
              <w:t>Кульч З. Риторичний словник. – К., 1997.</w:t>
            </w:r>
          </w:p>
          <w:p>
            <w:pPr>
              <w:pStyle w:val="2"/>
              <w:numPr>
                <w:ilvl w:val="0"/>
                <w:numId w:val="4"/>
              </w:numPr>
              <w:rPr>
                <w:sz w:val="28"/>
              </w:rPr>
            </w:pPr>
            <w:r>
              <w:rPr>
                <w:szCs w:val="22"/>
              </w:rPr>
              <w:t xml:space="preserve">Молдаванов А. Е., Сидорова Г. М. Сучасний діловий документ: Зразки найважливіших документів українською мовою. К.: Техніка, 1992. </w:t>
            </w:r>
          </w:p>
          <w:p>
            <w:pPr>
              <w:pStyle w:val="2"/>
              <w:numPr>
                <w:ilvl w:val="0"/>
                <w:numId w:val="4"/>
              </w:numPr>
              <w:rPr>
                <w:sz w:val="28"/>
              </w:rPr>
            </w:pPr>
            <w:r>
              <w:rPr>
                <w:szCs w:val="22"/>
              </w:rPr>
              <w:t>Морозов А. В. Психология влияння – СПб.: Питер, 2000.</w:t>
            </w:r>
          </w:p>
          <w:p>
            <w:pPr>
              <w:pStyle w:val="2"/>
              <w:numPr>
                <w:ilvl w:val="0"/>
                <w:numId w:val="4"/>
              </w:numPr>
              <w:rPr>
                <w:sz w:val="28"/>
              </w:rPr>
            </w:pPr>
            <w:r>
              <w:rPr>
                <w:szCs w:val="22"/>
              </w:rPr>
              <w:t>Основы педагогического мастерства: Учеб. пособие для пед. Спец.высш. учеб. заведений / Под ред. И. А. Зязюна. – М.: Просвещение, 1989.</w:t>
            </w:r>
          </w:p>
          <w:p>
            <w:pPr>
              <w:pStyle w:val="2"/>
              <w:numPr>
                <w:ilvl w:val="0"/>
                <w:numId w:val="4"/>
              </w:numPr>
              <w:rPr>
                <w:sz w:val="28"/>
              </w:rPr>
            </w:pPr>
            <w:r>
              <w:rPr>
                <w:szCs w:val="22"/>
              </w:rPr>
              <w:t>Панфилова А. П. Деловая коммуникация в профессиональной деятельности: Учеб. пособие, – СПб.: Знание, ИВЭСЭП, 2001.</w:t>
            </w:r>
          </w:p>
          <w:p>
            <w:pPr>
              <w:pStyle w:val="2"/>
              <w:numPr>
                <w:ilvl w:val="0"/>
                <w:numId w:val="4"/>
              </w:numPr>
              <w:rPr>
                <w:sz w:val="28"/>
              </w:rPr>
            </w:pPr>
            <w:r>
              <w:rPr>
                <w:szCs w:val="22"/>
              </w:rPr>
              <w:t>Педагогічна майстерність: Підручник / За ред. І. А. Зязюна. – К.: Вища шк., 1997.</w:t>
            </w:r>
          </w:p>
          <w:p>
            <w:pPr>
              <w:pStyle w:val="2"/>
              <w:numPr>
                <w:ilvl w:val="0"/>
                <w:numId w:val="4"/>
              </w:numPr>
              <w:rPr>
                <w:sz w:val="28"/>
              </w:rPr>
            </w:pPr>
            <w:r>
              <w:rPr>
                <w:szCs w:val="22"/>
              </w:rPr>
              <w:t>Пиз А. Язык жестов. – М., 1992.</w:t>
            </w:r>
          </w:p>
          <w:p>
            <w:pPr>
              <w:pStyle w:val="2"/>
              <w:numPr>
                <w:ilvl w:val="0"/>
                <w:numId w:val="4"/>
              </w:numPr>
              <w:rPr>
                <w:sz w:val="28"/>
              </w:rPr>
            </w:pPr>
            <w:r>
              <w:rPr>
                <w:szCs w:val="22"/>
              </w:rPr>
              <w:t>Савенкова Л. О. Комунікативні процеси у навчанні: Навч. посібник. – К.: КДЕУ, 1996.</w:t>
            </w:r>
          </w:p>
          <w:p>
            <w:pPr>
              <w:pStyle w:val="2"/>
              <w:numPr>
                <w:ilvl w:val="0"/>
                <w:numId w:val="4"/>
              </w:numPr>
              <w:rPr>
                <w:sz w:val="28"/>
              </w:rPr>
            </w:pPr>
            <w:r>
              <w:rPr>
                <w:szCs w:val="22"/>
              </w:rPr>
              <w:t>Савенкова Л. О. Педагогічне спілкування: Навч. посібник. – К.: КДЕУ, 1997.</w:t>
            </w:r>
          </w:p>
          <w:p>
            <w:pPr>
              <w:widowControl w:val="0"/>
              <w:autoSpaceDE w:val="0"/>
              <w:autoSpaceDN w:val="0"/>
              <w:adjustRightInd w:val="0"/>
              <w:jc w:val="center"/>
              <w:rPr>
                <w:rFonts w:ascii="Times New Roman" w:hAnsi="Times New Roman"/>
                <w:b/>
                <w:bCs/>
                <w:i/>
                <w:iCs/>
                <w:spacing w:val="-6"/>
                <w:kern w:val="1"/>
                <w:lang w:val="en-US"/>
              </w:rPr>
            </w:pPr>
            <w:r>
              <w:rPr>
                <w:rFonts w:ascii="Times New Roman" w:hAnsi="Times New Roman"/>
                <w:b/>
                <w:bCs/>
                <w:i/>
                <w:iCs/>
                <w:spacing w:val="-6"/>
                <w:kern w:val="1"/>
                <w:lang w:val="en-US"/>
              </w:rPr>
              <w:t>Інтернет-ресурси</w:t>
            </w:r>
          </w:p>
          <w:p>
            <w:pPr>
              <w:pStyle w:val="2"/>
              <w:numPr>
                <w:ilvl w:val="0"/>
                <w:numId w:val="5"/>
              </w:numPr>
              <w:ind w:left="601" w:hanging="283"/>
              <w:rPr>
                <w:szCs w:val="22"/>
              </w:rPr>
            </w:pPr>
            <w:r>
              <w:rPr>
                <w:szCs w:val="22"/>
              </w:rPr>
              <w:t xml:space="preserve">Аристотель. Риторика / Пер. Н. Платоновой // Античные риторики. — М., 1978.  – Режим доступу: </w:t>
            </w:r>
            <w:r>
              <w:fldChar w:fldCharType="begin"/>
            </w:r>
            <w:r>
              <w:instrText xml:space="preserve"> HYPERLINK "http://www.ritorika.igro.ru" </w:instrText>
            </w:r>
            <w:r>
              <w:fldChar w:fldCharType="separate"/>
            </w:r>
            <w:r>
              <w:rPr>
                <w:szCs w:val="22"/>
              </w:rPr>
              <w:t>www.ritorika.igro.ru</w:t>
            </w:r>
            <w:r>
              <w:rPr>
                <w:szCs w:val="22"/>
              </w:rPr>
              <w:fldChar w:fldCharType="end"/>
            </w:r>
            <w:r>
              <w:rPr>
                <w:szCs w:val="22"/>
              </w:rPr>
              <w:t>.</w:t>
            </w:r>
          </w:p>
          <w:p>
            <w:pPr>
              <w:pStyle w:val="2"/>
              <w:numPr>
                <w:ilvl w:val="0"/>
                <w:numId w:val="5"/>
              </w:numPr>
              <w:ind w:left="601" w:hanging="283"/>
              <w:rPr>
                <w:szCs w:val="22"/>
              </w:rPr>
            </w:pPr>
            <w:r>
              <w:rPr>
                <w:szCs w:val="22"/>
              </w:rPr>
              <w:t xml:space="preserve">Цицерон М. Т. Три трактата об ораторском искусстве / Пер. с лат. Ф. А. Петовского, И. П. Стрельниковой, М. Л. Гаспарова; Под ред. М. Л. Гаспарова. — М.: Науч.-издат. центр “Ладомир”, 1999. – 175 с. – РЕжим доступу: www.ritorika.igro.ru </w:t>
            </w:r>
          </w:p>
          <w:p>
            <w:pPr>
              <w:pStyle w:val="2"/>
              <w:numPr>
                <w:ilvl w:val="0"/>
                <w:numId w:val="5"/>
              </w:numPr>
              <w:ind w:left="601" w:hanging="283"/>
              <w:rPr>
                <w:szCs w:val="22"/>
              </w:rPr>
            </w:pPr>
            <w:r>
              <w:rPr>
                <w:szCs w:val="22"/>
              </w:rPr>
              <w:t xml:space="preserve">Вопросы теории и практики обучения профессиональной речи в современных публикациях и исследованиях. — Режим доступу:  http://www.seun. ru/books/Books/KafFiP/Metod/orlov02/1.2.htm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kern w:val="1"/>
                <w:lang w:val="en-US"/>
              </w:rPr>
            </w:pPr>
            <w:r>
              <w:rPr>
                <w:rFonts w:ascii="Times New Roman" w:hAnsi="Times New Roman"/>
                <w:b/>
                <w:bCs/>
                <w:kern w:val="1"/>
                <w:lang w:val="en-US"/>
              </w:rPr>
              <w:t>Тривалість курсу</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Один семестр (8), 90 год.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kern w:val="1"/>
                <w:lang w:val="en-US"/>
              </w:rPr>
            </w:pPr>
            <w:r>
              <w:rPr>
                <w:rFonts w:ascii="Times New Roman" w:hAnsi="Times New Roman"/>
                <w:b/>
                <w:bCs/>
                <w:kern w:val="1"/>
                <w:lang w:val="en-US"/>
              </w:rPr>
              <w:t>Обсяг курсу</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Загальна кількість годин – 90.</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20 години аудиторних занять, з них 10 годин лекцій, 10 годин практичних занять. 70 годин самостійної роботи.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kern w:val="1"/>
                <w:lang w:val="en-US"/>
              </w:rPr>
            </w:pPr>
            <w:r>
              <w:rPr>
                <w:rFonts w:ascii="Times New Roman" w:hAnsi="Times New Roman"/>
                <w:b/>
                <w:bCs/>
                <w:kern w:val="1"/>
                <w:lang w:val="en-US"/>
              </w:rPr>
              <w:t>Очікувані результати навчання</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У результаті вивчення навчальної дисципліни студент буде </w:t>
            </w:r>
            <w:r>
              <w:rPr>
                <w:rFonts w:ascii="Times New Roman" w:hAnsi="Times New Roman"/>
                <w:b/>
                <w:bCs/>
                <w:i/>
                <w:iCs/>
                <w:kern w:val="1"/>
                <w:lang w:val="en-US"/>
              </w:rPr>
              <w:t>знати</w:t>
            </w:r>
            <w:r>
              <w:rPr>
                <w:rFonts w:ascii="Times New Roman" w:hAnsi="Times New Roman"/>
                <w:kern w:val="1"/>
                <w:lang w:val="en-US"/>
              </w:rPr>
              <w:t>:</w:t>
            </w:r>
          </w:p>
          <w:p>
            <w:pPr>
              <w:widowControl w:val="0"/>
              <w:autoSpaceDE w:val="0"/>
              <w:autoSpaceDN w:val="0"/>
              <w:adjustRightInd w:val="0"/>
              <w:jc w:val="both"/>
              <w:rPr>
                <w:rFonts w:ascii="Times New Roman" w:hAnsi="Times New Roman"/>
                <w:kern w:val="1"/>
                <w:lang w:val="en-US"/>
              </w:rPr>
            </w:pPr>
          </w:p>
          <w:p>
            <w:pPr>
              <w:pStyle w:val="2"/>
              <w:numPr>
                <w:ilvl w:val="0"/>
                <w:numId w:val="6"/>
              </w:numPr>
              <w:spacing w:before="0" w:beforeAutospacing="0" w:after="0" w:afterAutospacing="0"/>
            </w:pPr>
            <w:r>
              <w:rPr>
                <w:sz w:val="22"/>
                <w:szCs w:val="22"/>
              </w:rPr>
              <w:t>сутність та особливості основ риторики;</w:t>
            </w:r>
          </w:p>
          <w:p>
            <w:pPr>
              <w:pStyle w:val="2"/>
              <w:numPr>
                <w:ilvl w:val="0"/>
                <w:numId w:val="6"/>
              </w:numPr>
              <w:spacing w:before="0" w:beforeAutospacing="0" w:after="0" w:afterAutospacing="0"/>
            </w:pPr>
            <w:r>
              <w:rPr>
                <w:sz w:val="22"/>
                <w:szCs w:val="22"/>
              </w:rPr>
              <w:t>особливості міжособистісного спілкування. Закони і жанри риторики;</w:t>
            </w:r>
          </w:p>
          <w:p>
            <w:pPr>
              <w:pStyle w:val="2"/>
              <w:numPr>
                <w:ilvl w:val="0"/>
                <w:numId w:val="6"/>
              </w:numPr>
              <w:spacing w:before="0" w:beforeAutospacing="0" w:after="0" w:afterAutospacing="0"/>
            </w:pPr>
            <w:r>
              <w:rPr>
                <w:sz w:val="22"/>
                <w:szCs w:val="22"/>
              </w:rPr>
              <w:t>критерії культури мови;</w:t>
            </w:r>
          </w:p>
          <w:p>
            <w:pPr>
              <w:pStyle w:val="2"/>
              <w:numPr>
                <w:ilvl w:val="0"/>
                <w:numId w:val="6"/>
              </w:numPr>
              <w:spacing w:before="0" w:beforeAutospacing="0" w:after="0" w:afterAutospacing="0"/>
            </w:pPr>
            <w:r>
              <w:rPr>
                <w:sz w:val="22"/>
                <w:szCs w:val="22"/>
              </w:rPr>
              <w:t>практичні аспекти риторики;</w:t>
            </w:r>
          </w:p>
          <w:p>
            <w:pPr>
              <w:pStyle w:val="2"/>
              <w:numPr>
                <w:ilvl w:val="0"/>
                <w:numId w:val="6"/>
              </w:numPr>
              <w:spacing w:before="0" w:beforeAutospacing="0" w:after="0" w:afterAutospacing="0"/>
            </w:pPr>
            <w:r>
              <w:rPr>
                <w:sz w:val="22"/>
                <w:szCs w:val="22"/>
              </w:rPr>
              <w:t>вимоги до вживання риторичного слова у різних сферах. Методику та етапи підготовки промови;</w:t>
            </w:r>
          </w:p>
          <w:p>
            <w:pPr>
              <w:pStyle w:val="2"/>
              <w:numPr>
                <w:ilvl w:val="0"/>
                <w:numId w:val="6"/>
              </w:numPr>
              <w:spacing w:before="0" w:beforeAutospacing="0" w:after="0" w:afterAutospacing="0"/>
            </w:pPr>
            <w:r>
              <w:rPr>
                <w:sz w:val="22"/>
                <w:szCs w:val="22"/>
              </w:rPr>
              <w:t xml:space="preserve">риторичні комунікативні ситуації у різних сферах; </w:t>
            </w:r>
          </w:p>
          <w:p>
            <w:pPr>
              <w:pStyle w:val="2"/>
              <w:numPr>
                <w:ilvl w:val="0"/>
                <w:numId w:val="6"/>
              </w:numPr>
              <w:spacing w:before="0" w:beforeAutospacing="0" w:after="0" w:afterAutospacing="0"/>
            </w:pPr>
            <w:r>
              <w:rPr>
                <w:sz w:val="22"/>
                <w:szCs w:val="22"/>
              </w:rPr>
              <w:t>ораторські прийоми у літературній мові. Загальні вимоги до усного спілкування;</w:t>
            </w:r>
          </w:p>
          <w:p>
            <w:pPr>
              <w:pStyle w:val="2"/>
              <w:numPr>
                <w:ilvl w:val="0"/>
                <w:numId w:val="6"/>
              </w:numPr>
              <w:spacing w:before="0" w:beforeAutospacing="0" w:after="0" w:afterAutospacing="0"/>
            </w:pPr>
            <w:r>
              <w:rPr>
                <w:sz w:val="22"/>
                <w:szCs w:val="22"/>
              </w:rPr>
              <w:t>мовленнєвий етикет українського народу.</w:t>
            </w:r>
          </w:p>
          <w:p>
            <w:pPr>
              <w:ind w:left="720"/>
              <w:jc w:val="both"/>
              <w:rPr>
                <w:rFonts w:ascii="Times New Roman" w:hAnsi="Times New Roman"/>
              </w:rPr>
            </w:pP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У результаті вивчення навчальної дисципліни студент буде </w:t>
            </w:r>
            <w:r>
              <w:rPr>
                <w:rFonts w:ascii="Times New Roman" w:hAnsi="Times New Roman"/>
                <w:b/>
                <w:bCs/>
                <w:i/>
                <w:iCs/>
                <w:kern w:val="1"/>
                <w:lang w:val="en-US"/>
              </w:rPr>
              <w:t>вміти</w:t>
            </w:r>
            <w:r>
              <w:rPr>
                <w:rFonts w:ascii="Times New Roman" w:hAnsi="Times New Roman"/>
                <w:kern w:val="1"/>
                <w:lang w:val="en-US"/>
              </w:rPr>
              <w:t xml:space="preserve">: </w:t>
            </w:r>
          </w:p>
          <w:p>
            <w:pPr>
              <w:pStyle w:val="2"/>
              <w:numPr>
                <w:ilvl w:val="0"/>
                <w:numId w:val="6"/>
              </w:numPr>
              <w:spacing w:before="0" w:beforeAutospacing="0" w:after="0" w:afterAutospacing="0"/>
              <w:rPr>
                <w:sz w:val="22"/>
                <w:szCs w:val="22"/>
              </w:rPr>
            </w:pPr>
            <w:r>
              <w:rPr>
                <w:sz w:val="22"/>
                <w:szCs w:val="22"/>
              </w:rPr>
              <w:t>формувати власні ораторські уміння та навички;</w:t>
            </w:r>
          </w:p>
          <w:p>
            <w:pPr>
              <w:pStyle w:val="2"/>
              <w:numPr>
                <w:ilvl w:val="0"/>
                <w:numId w:val="6"/>
              </w:numPr>
              <w:spacing w:before="0" w:beforeAutospacing="0" w:after="0" w:afterAutospacing="0"/>
              <w:rPr>
                <w:sz w:val="22"/>
                <w:szCs w:val="22"/>
              </w:rPr>
            </w:pPr>
            <w:r>
              <w:rPr>
                <w:sz w:val="22"/>
                <w:szCs w:val="22"/>
              </w:rPr>
              <w:t xml:space="preserve">володіти риторичними навичками оратора; </w:t>
            </w:r>
          </w:p>
          <w:p>
            <w:pPr>
              <w:pStyle w:val="2"/>
              <w:numPr>
                <w:ilvl w:val="0"/>
                <w:numId w:val="6"/>
              </w:numPr>
              <w:spacing w:before="0" w:beforeAutospacing="0" w:after="0" w:afterAutospacing="0"/>
              <w:rPr>
                <w:sz w:val="22"/>
                <w:szCs w:val="22"/>
              </w:rPr>
            </w:pPr>
            <w:r>
              <w:rPr>
                <w:sz w:val="22"/>
                <w:szCs w:val="22"/>
              </w:rPr>
              <w:t xml:space="preserve">удосконалювати ораторські уміння та навички у контексті професійної діяльності; </w:t>
            </w:r>
          </w:p>
          <w:p>
            <w:pPr>
              <w:pStyle w:val="2"/>
              <w:numPr>
                <w:ilvl w:val="0"/>
                <w:numId w:val="6"/>
              </w:numPr>
              <w:spacing w:before="0" w:beforeAutospacing="0" w:after="0" w:afterAutospacing="0"/>
              <w:rPr>
                <w:sz w:val="22"/>
                <w:szCs w:val="22"/>
              </w:rPr>
            </w:pPr>
            <w:r>
              <w:rPr>
                <w:sz w:val="22"/>
                <w:szCs w:val="22"/>
              </w:rPr>
              <w:t>володіти основами техніки мовлення;</w:t>
            </w:r>
          </w:p>
          <w:p>
            <w:pPr>
              <w:pStyle w:val="2"/>
              <w:numPr>
                <w:ilvl w:val="0"/>
                <w:numId w:val="6"/>
              </w:numPr>
              <w:spacing w:before="0" w:beforeAutospacing="0" w:after="0" w:afterAutospacing="0"/>
              <w:rPr>
                <w:sz w:val="22"/>
                <w:szCs w:val="22"/>
              </w:rPr>
            </w:pPr>
            <w:r>
              <w:rPr>
                <w:sz w:val="22"/>
                <w:szCs w:val="22"/>
              </w:rPr>
              <w:t xml:space="preserve">фахово спілкуватися, послуговуватися набутими знаннями у повсякденному житті; </w:t>
            </w:r>
          </w:p>
          <w:p>
            <w:pPr>
              <w:pStyle w:val="2"/>
              <w:numPr>
                <w:ilvl w:val="0"/>
                <w:numId w:val="6"/>
              </w:numPr>
              <w:spacing w:before="0" w:beforeAutospacing="0" w:after="0" w:afterAutospacing="0"/>
              <w:rPr>
                <w:sz w:val="22"/>
                <w:szCs w:val="22"/>
              </w:rPr>
            </w:pPr>
            <w:r>
              <w:rPr>
                <w:sz w:val="22"/>
                <w:szCs w:val="22"/>
              </w:rPr>
              <w:t xml:space="preserve">володіти нормами української літературної вимови. </w:t>
            </w:r>
          </w:p>
          <w:p>
            <w:pPr>
              <w:pStyle w:val="2"/>
              <w:spacing w:before="0" w:beforeAutospacing="0" w:after="0" w:afterAutospacing="0"/>
              <w:ind w:left="720"/>
              <w:rP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kern w:val="1"/>
                <w:lang w:val="en-US"/>
              </w:rPr>
            </w:pPr>
            <w:r>
              <w:rPr>
                <w:rFonts w:ascii="Times New Roman" w:hAnsi="Times New Roman"/>
                <w:b/>
                <w:bCs/>
                <w:kern w:val="1"/>
                <w:lang w:val="en-US"/>
              </w:rPr>
              <w:t>Ключові слова</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Риторика, красномовство, промова, комунікація, оратор, виступ,   культура, комунікативне непорозуміння.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kern w:val="1"/>
                <w:lang w:val="en-US"/>
              </w:rPr>
            </w:pPr>
            <w:r>
              <w:rPr>
                <w:rFonts w:ascii="Times New Roman" w:hAnsi="Times New Roman"/>
                <w:b/>
                <w:bCs/>
                <w:kern w:val="1"/>
                <w:lang w:val="en-US"/>
              </w:rPr>
              <w:t>Формат курсу</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Очний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Проведення лекцій, практичних занять і консультацій, виконання самостійної роботи для кращого розуміння тем.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kern w:val="1"/>
                <w:lang w:val="en-US"/>
              </w:rPr>
            </w:pPr>
            <w:r>
              <w:rPr>
                <w:rFonts w:ascii="Times New Roman" w:hAnsi="Times New Roman"/>
                <w:b/>
                <w:bCs/>
                <w:kern w:val="1"/>
                <w:lang w:val="en-US"/>
              </w:rPr>
              <w:t>Теми</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Згідно зі СХЕМОЮ КУРСУ (додається)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kern w:val="1"/>
                <w:lang w:val="en-US"/>
              </w:rPr>
            </w:pPr>
            <w:r>
              <w:rPr>
                <w:rFonts w:ascii="Times New Roman" w:hAnsi="Times New Roman"/>
                <w:b/>
                <w:bCs/>
                <w:kern w:val="1"/>
                <w:lang w:val="en-US"/>
              </w:rPr>
              <w:t>Підсумковий контроль</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Залік в кінці семестру</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Виставляється автоматично на підставі врахування поточної успішності протягом семестру.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b/>
                <w:bCs/>
                <w:kern w:val="1"/>
                <w:lang w:val="en-US"/>
              </w:rPr>
            </w:pPr>
            <w:r>
              <w:rPr>
                <w:rFonts w:ascii="Times New Roman" w:hAnsi="Times New Roman"/>
                <w:b/>
                <w:bCs/>
                <w:kern w:val="1"/>
                <w:lang w:val="en-US"/>
              </w:rPr>
              <w:t>Пререквізити</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Для вивчення курсу студенти потребують базових знань з таких дисциплін: «Перша іноземна мова», «Лінгвокраїнознавство», «Вступ до мовознавства», достатніх для сприйняття категоріального апарату в рамках дисципліни «Основи теорії міжкультурної комунікації».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kern w:val="1"/>
                <w:lang w:val="en-US"/>
              </w:rPr>
            </w:pPr>
            <w:r>
              <w:rPr>
                <w:rFonts w:ascii="Times New Roman" w:hAnsi="Times New Roman"/>
                <w:b/>
                <w:bCs/>
                <w:kern w:val="1"/>
                <w:lang w:val="en-US"/>
              </w:rPr>
              <w:t>Навчальні методи та техніки, які будуть використовуватися під час викладання курсу</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Під час викладання навчальної дисципліни підлягають використанню методи, спрямовані на:</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w:t>
            </w:r>
            <w:r>
              <w:rPr>
                <w:rFonts w:ascii="Times New Roman" w:hAnsi="Times New Roman"/>
                <w:kern w:val="1"/>
                <w:lang w:val="en-US"/>
              </w:rPr>
              <w:tab/>
            </w:r>
            <w:r>
              <w:rPr>
                <w:rFonts w:ascii="Times New Roman" w:hAnsi="Times New Roman"/>
                <w:kern w:val="1"/>
                <w:lang w:val="en-US"/>
              </w:rPr>
              <w:t>формування у студентів інтересу до пізнавальної діяльності і відповідальності за навчальну працю;</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w:t>
            </w:r>
            <w:r>
              <w:rPr>
                <w:rFonts w:ascii="Times New Roman" w:hAnsi="Times New Roman"/>
                <w:kern w:val="1"/>
                <w:lang w:val="en-US"/>
              </w:rPr>
              <w:tab/>
            </w:r>
            <w:r>
              <w:rPr>
                <w:rFonts w:ascii="Times New Roman" w:hAnsi="Times New Roman"/>
                <w:kern w:val="1"/>
                <w:lang w:val="en-US"/>
              </w:rPr>
              <w:t>забезпечення мисленнєвої діяльності (індуктивного, дедуктивного, репродуктивного й пошукового характеру);</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w:t>
            </w:r>
            <w:r>
              <w:rPr>
                <w:rFonts w:ascii="Times New Roman" w:hAnsi="Times New Roman"/>
                <w:kern w:val="1"/>
                <w:lang w:val="en-US"/>
              </w:rPr>
              <w:tab/>
            </w:r>
            <w:r>
              <w:rPr>
                <w:rFonts w:ascii="Times New Roman" w:hAnsi="Times New Roman"/>
                <w:kern w:val="1"/>
                <w:lang w:val="en-US"/>
              </w:rPr>
              <w:t xml:space="preserve">методи, пов’язані з контролем за навчальною діяльністю студентів. </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Серед методів навчання, зокрема, підлягають застосуванню наступні: розповідь, пояснення, бесіда, лекція, демонстрація, спостереження, практичне заняття, індивідуальні завдання, інтерактивні методи.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kern w:val="1"/>
                <w:lang w:val="en-US"/>
              </w:rPr>
            </w:pPr>
            <w:r>
              <w:rPr>
                <w:rFonts w:ascii="Times New Roman" w:hAnsi="Times New Roman"/>
                <w:b/>
                <w:bCs/>
                <w:kern w:val="1"/>
                <w:lang w:val="en-US"/>
              </w:rPr>
              <w:t>Необхідне обладнання</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Для проведення аудиторних занять потрібні ноутбук і проектор.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kern w:val="1"/>
                <w:lang w:val="en-US"/>
              </w:rPr>
            </w:pPr>
            <w:r>
              <w:rPr>
                <w:rFonts w:ascii="Times New Roman" w:hAnsi="Times New Roman"/>
                <w:b/>
                <w:bCs/>
                <w:kern w:val="1"/>
                <w:lang w:val="en-US"/>
              </w:rPr>
              <w:t>Критерії оцінювання (окремо для кожного виду навчальної діяльності)</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залік на основі оцінок, які він/вона отримав/ла за відповіді на практичних заняттях. Оцінювання проводиться за 100-бальною шкалою.</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Бали нараховуються за наступним співвідношенням: </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практичні заняття: 50% семестрової оцінки; максимальна кількість балів – 50 балів;</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 дві модульні контрольні роботи: 20% семестрової оцінки; максимальна кількість балів – 20 балів (2 х 10); </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відвідування аудиторних занять: 10% семестрової оцінки; максимальна кількість балів – 10 балів;</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 xml:space="preserve">• самостійна робота: 20% семестрової оцінки; максимальна кількість балів – 20 балів. </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Залік оформляється шляхом сумування одержаних студентом балів за усі види навчальної діяльності.</w:t>
            </w:r>
          </w:p>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Підсумкова максимальна кількість балів – 100 балів.</w:t>
            </w:r>
          </w:p>
          <w:p>
            <w:pPr>
              <w:widowControl w:val="0"/>
              <w:autoSpaceDE w:val="0"/>
              <w:autoSpaceDN w:val="0"/>
              <w:adjustRightInd w:val="0"/>
              <w:jc w:val="both"/>
              <w:rPr>
                <w:rFonts w:ascii="Times New Roman" w:hAnsi="Times New Roman"/>
                <w:kern w:val="1"/>
                <w:lang w:val="en-US"/>
              </w:rPr>
            </w:pPr>
          </w:p>
          <w:p>
            <w:pPr>
              <w:widowControl w:val="0"/>
              <w:autoSpaceDE w:val="0"/>
              <w:autoSpaceDN w:val="0"/>
              <w:adjustRightInd w:val="0"/>
              <w:jc w:val="center"/>
              <w:rPr>
                <w:rFonts w:ascii="Times New Roman" w:hAnsi="Times New Roman"/>
                <w:b/>
                <w:bCs/>
                <w:kern w:val="1"/>
                <w:lang w:val="en-US"/>
              </w:rPr>
            </w:pPr>
            <w:r>
              <w:rPr>
                <w:rFonts w:ascii="Times New Roman" w:hAnsi="Times New Roman"/>
                <w:b/>
                <w:bCs/>
                <w:kern w:val="1"/>
                <w:lang w:val="en-US"/>
              </w:rPr>
              <w:t>Шкала оцінювання модульної контрольної роботи</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8"/>
              <w:gridCol w:w="4320"/>
            </w:tblGrid>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kern w:val="1"/>
                      <w:lang w:val="en-US"/>
                    </w:rPr>
                  </w:pPr>
                  <w:r>
                    <w:rPr>
                      <w:rFonts w:ascii="Times New Roman" w:hAnsi="Times New Roman"/>
                      <w:b/>
                      <w:bCs/>
                      <w:kern w:val="1"/>
                      <w:lang w:val="en-US"/>
                    </w:rPr>
                    <w:t>Кількість балів</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kern w:val="1"/>
                      <w:lang w:val="en-US"/>
                    </w:rPr>
                  </w:pPr>
                  <w:r>
                    <w:rPr>
                      <w:rFonts w:ascii="Times New Roman" w:hAnsi="Times New Roman"/>
                      <w:b/>
                      <w:bCs/>
                      <w:kern w:val="1"/>
                      <w:lang w:val="en-US"/>
                    </w:rPr>
                    <w:t>% правильних відповідей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10</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100 – 96</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9</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95 – 91</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8</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90 – 86</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7</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85 – 81</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6</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80 – 76</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5</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75 – 71</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4</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70 – 66</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3</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65 – 61</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2</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60 – 56</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1</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55 – 51</w:t>
                  </w:r>
                </w:p>
              </w:tc>
            </w:tr>
            <w:tr>
              <w:tc>
                <w:tcPr>
                  <w:tcW w:w="4428"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0</w:t>
                  </w:r>
                </w:p>
              </w:tc>
              <w:tc>
                <w:tcPr>
                  <w:tcW w:w="4320"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kern w:val="1"/>
                      <w:lang w:val="en-US"/>
                    </w:rPr>
                  </w:pPr>
                  <w:r>
                    <w:rPr>
                      <w:rFonts w:ascii="Times New Roman" w:hAnsi="Times New Roman"/>
                      <w:kern w:val="1"/>
                      <w:lang w:val="en-US"/>
                    </w:rPr>
                    <w:t xml:space="preserve">  50 і менше</w:t>
                  </w:r>
                </w:p>
              </w:tc>
            </w:tr>
          </w:tbl>
          <w:p>
            <w:pPr>
              <w:widowControl w:val="0"/>
              <w:autoSpaceDE w:val="0"/>
              <w:autoSpaceDN w:val="0"/>
              <w:adjustRightInd w:val="0"/>
              <w:jc w:val="both"/>
              <w:rPr>
                <w:rFonts w:ascii="Times New Roman" w:hAnsi="Times New Roman"/>
                <w:kern w:val="1"/>
                <w:lang w:val="en-US"/>
              </w:rPr>
            </w:pPr>
          </w:p>
          <w:p>
            <w:pPr>
              <w:widowControl w:val="0"/>
              <w:autoSpaceDE w:val="0"/>
              <w:autoSpaceDN w:val="0"/>
              <w:adjustRightInd w:val="0"/>
              <w:jc w:val="both"/>
              <w:rPr>
                <w:rFonts w:ascii="Times New Roman" w:hAnsi="Times New Roman"/>
                <w:kern w:val="1"/>
                <w:lang w:val="en-US"/>
              </w:rPr>
            </w:pPr>
            <w:r>
              <w:rPr>
                <w:rFonts w:ascii="Times New Roman" w:hAnsi="Times New Roman"/>
                <w:b/>
                <w:bCs/>
                <w:kern w:val="1"/>
                <w:lang w:val="en-US"/>
              </w:rPr>
              <w:t>Самостійна робота студента</w:t>
            </w:r>
            <w:r>
              <w:rPr>
                <w:rFonts w:ascii="Times New Roman" w:hAnsi="Times New Roman"/>
                <w:kern w:val="1"/>
                <w:lang w:val="en-US"/>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«Основи теорії міжкультурної комунікації та перекладу». Зміст СРС з дисципліни «Основи теорії міжкультурної комунікації та перекладу» складається з таких видів роботи: опрацювання теоретичних основ прослуханого матеріалу;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тренування перекладацьких навичок на основі вільного вибору матеріалів; підготовка до контрольних робіт. Очікується, що протягом семестру кожен студент представить викладачеві щонайменше 2 роботи, передбачені планом на самостійне виконання.</w:t>
            </w:r>
          </w:p>
          <w:p>
            <w:pPr>
              <w:widowControl w:val="0"/>
              <w:autoSpaceDE w:val="0"/>
              <w:autoSpaceDN w:val="0"/>
              <w:adjustRightInd w:val="0"/>
              <w:jc w:val="both"/>
              <w:rPr>
                <w:rFonts w:ascii="Times New Roman" w:hAnsi="Times New Roman"/>
                <w:kern w:val="1"/>
                <w:lang w:val="en-US"/>
              </w:rPr>
            </w:pPr>
            <w:r>
              <w:rPr>
                <w:rFonts w:ascii="Times New Roman" w:hAnsi="Times New Roman"/>
                <w:b/>
                <w:bCs/>
                <w:kern w:val="1"/>
                <w:lang w:val="en-US"/>
              </w:rPr>
              <w:t>Академічна доброчесність</w:t>
            </w:r>
            <w:r>
              <w:rPr>
                <w:rFonts w:ascii="Times New Roman" w:hAnsi="Times New Roman"/>
                <w:kern w:val="1"/>
                <w:lang w:val="en-US"/>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pPr>
              <w:widowControl w:val="0"/>
              <w:autoSpaceDE w:val="0"/>
              <w:autoSpaceDN w:val="0"/>
              <w:adjustRightInd w:val="0"/>
              <w:jc w:val="both"/>
              <w:rPr>
                <w:rFonts w:ascii="Times New Roman" w:hAnsi="Times New Roman"/>
                <w:kern w:val="1"/>
                <w:lang w:val="en-US"/>
              </w:rPr>
            </w:pPr>
            <w:r>
              <w:rPr>
                <w:rFonts w:ascii="Times New Roman" w:hAnsi="Times New Roman"/>
                <w:b/>
                <w:bCs/>
                <w:kern w:val="1"/>
                <w:lang w:val="en-US"/>
              </w:rPr>
              <w:t>Відвідання занять</w:t>
            </w:r>
            <w:r>
              <w:rPr>
                <w:rFonts w:ascii="Times New Roman" w:hAnsi="Times New Roman"/>
                <w:kern w:val="1"/>
                <w:lang w:val="en-US"/>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pPr>
              <w:widowControl w:val="0"/>
              <w:autoSpaceDE w:val="0"/>
              <w:autoSpaceDN w:val="0"/>
              <w:adjustRightInd w:val="0"/>
              <w:jc w:val="both"/>
              <w:rPr>
                <w:rFonts w:ascii="Times New Roman" w:hAnsi="Times New Roman"/>
                <w:kern w:val="1"/>
                <w:lang w:val="en-US"/>
              </w:rPr>
            </w:pPr>
            <w:r>
              <w:rPr>
                <w:rFonts w:ascii="Times New Roman" w:hAnsi="Times New Roman"/>
                <w:b/>
                <w:bCs/>
                <w:kern w:val="1"/>
                <w:lang w:val="en-US"/>
              </w:rPr>
              <w:t>Література</w:t>
            </w:r>
            <w:r>
              <w:rPr>
                <w:rFonts w:ascii="Times New Roman" w:hAnsi="Times New Roman"/>
                <w:kern w:val="1"/>
                <w:lang w:val="en-US"/>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widowControl w:val="0"/>
              <w:autoSpaceDE w:val="0"/>
              <w:autoSpaceDN w:val="0"/>
              <w:adjustRightInd w:val="0"/>
              <w:jc w:val="both"/>
              <w:rPr>
                <w:rFonts w:ascii="Times New Roman" w:hAnsi="Times New Roman"/>
                <w:kern w:val="1"/>
                <w:lang w:val="en-US"/>
              </w:rPr>
            </w:pPr>
            <w:r>
              <w:rPr>
                <w:rFonts w:ascii="Times New Roman" w:hAnsi="Times New Roman"/>
                <w:b/>
                <w:bCs/>
                <w:kern w:val="1"/>
                <w:lang w:val="en-US"/>
              </w:rPr>
              <w:t>Політика виставлення балів</w:t>
            </w:r>
            <w:r>
              <w:rPr>
                <w:rFonts w:ascii="Times New Roman" w:hAnsi="Times New Roman"/>
                <w:kern w:val="1"/>
                <w:lang w:val="en-US"/>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pPr>
              <w:widowControl w:val="0"/>
              <w:autoSpaceDE w:val="0"/>
              <w:autoSpaceDN w:val="0"/>
              <w:adjustRightInd w:val="0"/>
              <w:jc w:val="both"/>
              <w:rPr>
                <w:rFonts w:ascii="Times New Roman" w:hAnsi="Times New Roman"/>
                <w:kern w:val="1"/>
                <w:lang w:val="en-US"/>
              </w:rPr>
            </w:pPr>
            <w:r>
              <w:rPr>
                <w:rFonts w:ascii="Times New Roman" w:hAnsi="Times New Roman"/>
                <w:b/>
                <w:bCs/>
                <w:kern w:val="1"/>
                <w:lang w:val="en-US"/>
              </w:rPr>
              <w:t>Жодні форми порушення академічної доброчесності не толеруються</w:t>
            </w:r>
            <w:r>
              <w:rPr>
                <w:rFonts w:ascii="Times New Roman" w:hAnsi="Times New Roman"/>
                <w:kern w:val="1"/>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43"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rPr>
                <w:rFonts w:ascii="Times New Roman" w:hAnsi="Times New Roman"/>
                <w:b/>
                <w:bCs/>
                <w:kern w:val="1"/>
                <w:lang w:val="en-US"/>
              </w:rPr>
            </w:pPr>
            <w:r>
              <w:rPr>
                <w:rFonts w:ascii="Times New Roman" w:hAnsi="Times New Roman"/>
                <w:b/>
                <w:bCs/>
                <w:kern w:val="1"/>
                <w:lang w:val="en-US"/>
              </w:rPr>
              <w:t>Опитування</w:t>
            </w:r>
          </w:p>
        </w:tc>
        <w:tc>
          <w:tcPr>
            <w:tcW w:w="6946" w:type="dxa"/>
            <w:tcBorders>
              <w:top w:val="single" w:color="BFBFBF" w:sz="8" w:space="0"/>
              <w:left w:val="single" w:color="BFBFBF" w:sz="8" w:space="0"/>
              <w:bottom w:val="single" w:color="BFBFBF" w:sz="8" w:space="0"/>
              <w:right w:val="single" w:color="BFBFBF" w:sz="8" w:space="0"/>
            </w:tcBorders>
            <w:tcMar>
              <w:top w:w="0" w:type="dxa"/>
              <w:right w:w="0" w:type="dxa"/>
            </w:tcMar>
            <w:vAlign w:val="center"/>
          </w:tcPr>
          <w:p>
            <w:pPr>
              <w:widowControl w:val="0"/>
              <w:autoSpaceDE w:val="0"/>
              <w:autoSpaceDN w:val="0"/>
              <w:adjustRightInd w:val="0"/>
              <w:jc w:val="both"/>
              <w:rPr>
                <w:rFonts w:ascii="Times New Roman" w:hAnsi="Times New Roman"/>
                <w:kern w:val="1"/>
                <w:lang w:val="en-US"/>
              </w:rPr>
            </w:pPr>
            <w:r>
              <w:rPr>
                <w:rFonts w:ascii="Times New Roman" w:hAnsi="Times New Roman"/>
                <w:kern w:val="1"/>
                <w:lang w:val="en-US"/>
              </w:rPr>
              <w:t>Анкету-оцінку з метою оцінювання якості курсу буде надано по завершенню курсу.</w:t>
            </w:r>
          </w:p>
        </w:tc>
      </w:tr>
    </w:tbl>
    <w:p>
      <w:bookmarkStart w:id="0" w:name="_GoBack"/>
      <w:bookmarkEnd w:id="0"/>
    </w:p>
    <w:sectPr>
      <w:pgSz w:w="11900" w:h="16840"/>
      <w:pgMar w:top="838" w:right="537" w:bottom="922" w:left="1582"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ymbol">
    <w:altName w:val="Kingsoft Sign"/>
    <w:panose1 w:val="00000000000000000000"/>
    <w:charset w:val="02"/>
    <w:family w:val="auto"/>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ＭＳ 明朝">
    <w:altName w:val="Hiragino Mincho ProN"/>
    <w:panose1 w:val="00000000000000000000"/>
    <w:charset w:val="80"/>
    <w:family w:val="auto"/>
    <w:pitch w:val="default"/>
    <w:sig w:usb0="00000000" w:usb1="00000000" w:usb2="08000012" w:usb3="00000000" w:csb0="0002009F" w:csb1="00000000"/>
  </w:font>
  <w:font w:name="ＭＳ ゴシック">
    <w:altName w:val="Hiragino Sans"/>
    <w:panose1 w:val="00000000000000000000"/>
    <w:charset w:val="80"/>
    <w:family w:val="auto"/>
    <w:pitch w:val="default"/>
    <w:sig w:usb0="00000000" w:usb1="00000000" w:usb2="08000012" w:usb3="00000000" w:csb0="0002009F" w:csb1="00000000"/>
  </w:font>
  <w:font w:name="Calibri Light">
    <w:altName w:val="Helvetica Neue"/>
    <w:panose1 w:val="020F0302020204030204"/>
    <w:charset w:val="00"/>
    <w:family w:val="auto"/>
    <w:pitch w:val="default"/>
    <w:sig w:usb0="00000000" w:usb1="00000000" w:usb2="00000000" w:usb3="00000000" w:csb0="0000019F" w:csb1="00000000"/>
  </w:font>
  <w:font w:name="ＭＳ 明朝">
    <w:altName w:val="Hiragino Mincho ProN"/>
    <w:panose1 w:val="00000000000000000000"/>
    <w:charset w:val="86"/>
    <w:family w:val="auto"/>
    <w:pitch w:val="default"/>
    <w:sig w:usb0="00000000" w:usb1="00000000" w:usb2="00000000" w:usb3="00000000" w:csb0="00000000" w:csb1="00000000"/>
  </w:font>
  <w:font w:name="ＭＳ 明朝">
    <w:altName w:val="Hiragino Mincho ProN"/>
    <w:panose1 w:val="00000000000000000000"/>
    <w:charset w:val="00"/>
    <w:family w:val="auto"/>
    <w:pitch w:val="default"/>
    <w:sig w:usb0="00000000" w:usb1="00000000" w:usb2="00000000" w:usb3="00000000" w:csb0="00000000" w:csb1="00000000"/>
  </w:font>
  <w:font w:name="Hiragino Mincho ProN">
    <w:panose1 w:val="02020300000000000000"/>
    <w:charset w:val="80"/>
    <w:family w:val="auto"/>
    <w:pitch w:val="default"/>
    <w:sig w:usb0="E00002FF" w:usb1="7AE7FFFF" w:usb2="00000012" w:usb3="00000000" w:csb0="0002000D"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4D8E"/>
    <w:multiLevelType w:val="multilevel"/>
    <w:tmpl w:val="240A4D8E"/>
    <w:lvl w:ilvl="0" w:tentative="0">
      <w:start w:val="1"/>
      <w:numFmt w:val="bullet"/>
      <w:lvlText w:val=""/>
      <w:lvlJc w:val="left"/>
      <w:pPr>
        <w:tabs>
          <w:tab w:val="left" w:pos="1080"/>
        </w:tabs>
        <w:ind w:left="1080" w:hanging="360"/>
      </w:pPr>
      <w:rPr>
        <w:rFonts w:hint="default" w:ascii="Symbol" w:hAnsi="Symbol"/>
        <w:sz w:val="20"/>
      </w:rPr>
    </w:lvl>
    <w:lvl w:ilvl="1" w:tentative="0">
      <w:start w:val="1"/>
      <w:numFmt w:val="bullet"/>
      <w:lvlText w:val="o"/>
      <w:lvlJc w:val="left"/>
      <w:pPr>
        <w:tabs>
          <w:tab w:val="left" w:pos="1800"/>
        </w:tabs>
        <w:ind w:left="1800" w:hanging="360"/>
      </w:pPr>
      <w:rPr>
        <w:rFonts w:hint="default" w:ascii="Courier New" w:hAnsi="Courier New"/>
        <w:sz w:val="20"/>
      </w:rPr>
    </w:lvl>
    <w:lvl w:ilvl="2" w:tentative="0">
      <w:start w:val="1"/>
      <w:numFmt w:val="bullet"/>
      <w:lvlText w:val=""/>
      <w:lvlJc w:val="left"/>
      <w:pPr>
        <w:tabs>
          <w:tab w:val="left" w:pos="2520"/>
        </w:tabs>
        <w:ind w:left="2520" w:hanging="360"/>
      </w:pPr>
      <w:rPr>
        <w:rFonts w:hint="default" w:ascii="Wingdings" w:hAnsi="Wingdings"/>
        <w:sz w:val="20"/>
      </w:rPr>
    </w:lvl>
    <w:lvl w:ilvl="3" w:tentative="0">
      <w:start w:val="1"/>
      <w:numFmt w:val="bullet"/>
      <w:lvlText w:val=""/>
      <w:lvlJc w:val="left"/>
      <w:pPr>
        <w:tabs>
          <w:tab w:val="left" w:pos="3240"/>
        </w:tabs>
        <w:ind w:left="3240" w:hanging="360"/>
      </w:pPr>
      <w:rPr>
        <w:rFonts w:hint="default" w:ascii="Wingdings" w:hAnsi="Wingdings"/>
        <w:sz w:val="20"/>
      </w:rPr>
    </w:lvl>
    <w:lvl w:ilvl="4" w:tentative="0">
      <w:start w:val="1"/>
      <w:numFmt w:val="bullet"/>
      <w:lvlText w:val=""/>
      <w:lvlJc w:val="left"/>
      <w:pPr>
        <w:tabs>
          <w:tab w:val="left" w:pos="3960"/>
        </w:tabs>
        <w:ind w:left="3960" w:hanging="360"/>
      </w:pPr>
      <w:rPr>
        <w:rFonts w:hint="default" w:ascii="Wingdings" w:hAnsi="Wingdings"/>
        <w:sz w:val="20"/>
      </w:rPr>
    </w:lvl>
    <w:lvl w:ilvl="5" w:tentative="0">
      <w:start w:val="1"/>
      <w:numFmt w:val="bullet"/>
      <w:lvlText w:val=""/>
      <w:lvlJc w:val="left"/>
      <w:pPr>
        <w:tabs>
          <w:tab w:val="left" w:pos="4680"/>
        </w:tabs>
        <w:ind w:left="4680" w:hanging="360"/>
      </w:pPr>
      <w:rPr>
        <w:rFonts w:hint="default" w:ascii="Wingdings" w:hAnsi="Wingdings"/>
        <w:sz w:val="20"/>
      </w:rPr>
    </w:lvl>
    <w:lvl w:ilvl="6" w:tentative="0">
      <w:start w:val="1"/>
      <w:numFmt w:val="bullet"/>
      <w:lvlText w:val=""/>
      <w:lvlJc w:val="left"/>
      <w:pPr>
        <w:tabs>
          <w:tab w:val="left" w:pos="5400"/>
        </w:tabs>
        <w:ind w:left="5400" w:hanging="360"/>
      </w:pPr>
      <w:rPr>
        <w:rFonts w:hint="default" w:ascii="Wingdings" w:hAnsi="Wingdings"/>
        <w:sz w:val="20"/>
      </w:rPr>
    </w:lvl>
    <w:lvl w:ilvl="7" w:tentative="0">
      <w:start w:val="1"/>
      <w:numFmt w:val="bullet"/>
      <w:lvlText w:val=""/>
      <w:lvlJc w:val="left"/>
      <w:pPr>
        <w:tabs>
          <w:tab w:val="left" w:pos="6120"/>
        </w:tabs>
        <w:ind w:left="6120" w:hanging="360"/>
      </w:pPr>
      <w:rPr>
        <w:rFonts w:hint="default" w:ascii="Wingdings" w:hAnsi="Wingdings"/>
        <w:sz w:val="20"/>
      </w:rPr>
    </w:lvl>
    <w:lvl w:ilvl="8" w:tentative="0">
      <w:start w:val="1"/>
      <w:numFmt w:val="bullet"/>
      <w:lvlText w:val=""/>
      <w:lvlJc w:val="left"/>
      <w:pPr>
        <w:tabs>
          <w:tab w:val="left" w:pos="6840"/>
        </w:tabs>
        <w:ind w:left="6840" w:hanging="360"/>
      </w:pPr>
      <w:rPr>
        <w:rFonts w:hint="default" w:ascii="Wingdings" w:hAnsi="Wingdings"/>
        <w:sz w:val="20"/>
      </w:rPr>
    </w:lvl>
  </w:abstractNum>
  <w:abstractNum w:abstractNumId="1">
    <w:nsid w:val="25D21F74"/>
    <w:multiLevelType w:val="multilevel"/>
    <w:tmpl w:val="25D21F7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D535F56"/>
    <w:multiLevelType w:val="multilevel"/>
    <w:tmpl w:val="3D535F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4CA80B46"/>
    <w:multiLevelType w:val="multilevel"/>
    <w:tmpl w:val="4CA80B46"/>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4F5E1305"/>
    <w:multiLevelType w:val="multilevel"/>
    <w:tmpl w:val="4F5E1305"/>
    <w:lvl w:ilvl="0" w:tentative="0">
      <w:start w:val="10"/>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6A477B8A"/>
    <w:multiLevelType w:val="multilevel"/>
    <w:tmpl w:val="6A477B8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84"/>
    <w:rsid w:val="00514984"/>
    <w:rsid w:val="007B34A5"/>
    <w:rsid w:val="00A57E43"/>
    <w:rsid w:val="00AA47A6"/>
    <w:rsid w:val="00FA3E3A"/>
    <w:rsid w:val="1EBDB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ＭＳ 明朝" w:cs="Times New Roman"/>
      <w:sz w:val="24"/>
      <w:szCs w:val="24"/>
      <w:lang w:val="uk-UA" w:eastAsia="en-US" w:bidi="ar-SA"/>
    </w:rPr>
  </w:style>
  <w:style w:type="character" w:default="1" w:styleId="3">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rPr>
      <w:rFonts w:ascii="Times New Roman" w:hAnsi="Times New Roman"/>
      <w:lang w:val="en-US"/>
    </w:rPr>
  </w:style>
  <w:style w:type="character" w:customStyle="1" w:styleId="5">
    <w:name w:val="apple-converted-space"/>
    <w:qFormat/>
    <w:uiPriority w:val="0"/>
  </w:style>
  <w:style w:type="paragraph" w:customStyle="1" w:styleId="6">
    <w:name w:val="List Paragraph"/>
    <w:basedOn w:val="1"/>
    <w:qFormat/>
    <w:uiPriority w:val="34"/>
    <w:pPr>
      <w:spacing w:after="200" w:line="276" w:lineRule="auto"/>
      <w:ind w:left="720"/>
      <w:contextualSpacing/>
    </w:pPr>
    <w:rPr>
      <w:rFonts w:eastAsia="Calibri"/>
      <w:sz w:val="22"/>
      <w:szCs w:val="22"/>
      <w:lang w:val="ru-RU"/>
    </w:rPr>
  </w:style>
  <w:style w:type="paragraph" w:customStyle="1" w:styleId="7">
    <w:name w:val="paragraph"/>
    <w:basedOn w:val="1"/>
    <w:qFormat/>
    <w:uiPriority w:val="0"/>
    <w:pPr>
      <w:spacing w:before="100" w:beforeAutospacing="1" w:after="100" w:afterAutospacing="1"/>
    </w:pPr>
    <w:rPr>
      <w:rFonts w:ascii="Times New Roman" w:hAnsi="Times New Roman"/>
      <w:lang w:val="en-US"/>
    </w:rPr>
  </w:style>
  <w:style w:type="character" w:customStyle="1" w:styleId="8">
    <w:name w:val="ft17"/>
    <w:qFormat/>
    <w:uiPriority w:val="0"/>
  </w:style>
  <w:style w:type="paragraph" w:customStyle="1" w:styleId="9">
    <w:name w:val="Default"/>
    <w:qFormat/>
    <w:uiPriority w:val="0"/>
    <w:pPr>
      <w:widowControl w:val="0"/>
      <w:autoSpaceDE w:val="0"/>
      <w:autoSpaceDN w:val="0"/>
      <w:adjustRightInd w:val="0"/>
    </w:pPr>
    <w:rPr>
      <w:rFonts w:ascii="Times New Roman" w:hAnsi="Times New Roman" w:eastAsia="ＭＳ 明朝" w:cs="Times New Roman"/>
      <w:color w:val="000000"/>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2207</Words>
  <Characters>14198</Characters>
  <Lines>709</Lines>
  <Paragraphs>341</Paragraphs>
  <TotalTime>0</TotalTime>
  <ScaleCrop>false</ScaleCrop>
  <LinksUpToDate>false</LinksUpToDate>
  <CharactersWithSpaces>16064</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2021-02-02T18:54:00Z</dcterms:created>
  <dc:creator>supersone4ko supersone4ko</dc:creator>
  <cp:lastModifiedBy>olgadenys</cp:lastModifiedBy>
  <dcterms:modified xsi:type="dcterms:W3CDTF">2021-02-18T19:45:02Z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