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rPr>
      </w:pPr>
    </w:p>
    <w:p>
      <w:pPr>
        <w:ind w:left="5103" w:firstLine="85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bCs/>
          <w:sz w:val="24"/>
          <w:szCs w:val="24"/>
        </w:rPr>
        <w:t>ЗАТВЕРДЖУЮ</w:t>
      </w:r>
      <w:r>
        <w:rPr>
          <w:rFonts w:ascii="Times New Roman" w:hAnsi="Times New Roman" w:eastAsia="Times New Roman" w:cs="Times New Roman"/>
          <w:sz w:val="24"/>
          <w:szCs w:val="24"/>
        </w:rPr>
        <w:t>”</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Завідувач кафедри міжкультурної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комунікації та перекладу</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 xml:space="preserve">_________________А. Й. Паславська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“______” ______________20___ р</w:t>
      </w:r>
      <w:r>
        <w:rPr>
          <w:rFonts w:ascii="Times New Roman" w:hAnsi="Times New Roman" w:eastAsia="Times New Roman" w:cs="Times New Roman"/>
          <w:sz w:val="24"/>
          <w:szCs w:val="24"/>
        </w:rPr>
        <w:t>оку</w:t>
      </w:r>
    </w:p>
    <w:p>
      <w:pPr>
        <w:spacing w:line="240" w:lineRule="auto"/>
        <w:ind w:left="2835"/>
        <w:jc w:val="right"/>
        <w:rPr>
          <w:rFonts w:ascii="Times New Roman" w:hAnsi="Times New Roman" w:eastAsia="Times New Roman" w:cs="Times New Roman"/>
          <w:sz w:val="24"/>
          <w:szCs w:val="24"/>
        </w:rPr>
      </w:pPr>
    </w:p>
    <w:p>
      <w:pPr>
        <w:jc w:val="center"/>
        <w:rPr>
          <w:rFonts w:ascii="Times New Roman" w:hAnsi="Times New Roman" w:eastAsia="Times New Roman" w:cs="Times New Roman"/>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С И Л А Б У С</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ТЕОРІЯ ПЕРЕКЛАДУ</w:t>
      </w:r>
    </w:p>
    <w:p>
      <w:pPr>
        <w:jc w:val="center"/>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
          <w:sz w:val="28"/>
          <w:szCs w:val="28"/>
        </w:rPr>
        <w:t xml:space="preserve">Освітній рівень </w:t>
      </w:r>
      <w:r>
        <w:rPr>
          <w:rFonts w:ascii="Times New Roman" w:hAnsi="Times New Roman" w:cs="Times New Roman"/>
          <w:b/>
          <w:sz w:val="28"/>
          <w:szCs w:val="28"/>
        </w:rPr>
        <w:tab/>
      </w:r>
      <w:r>
        <w:rPr>
          <w:rFonts w:ascii="Times New Roman" w:hAnsi="Times New Roman" w:cs="Times New Roman"/>
          <w:b/>
          <w:sz w:val="28"/>
          <w:szCs w:val="28"/>
        </w:rPr>
        <w:t>бакалавр</w:t>
      </w:r>
    </w:p>
    <w:p>
      <w:pPr>
        <w:tabs>
          <w:tab w:val="left" w:pos="2127"/>
        </w:tabs>
        <w:rPr>
          <w:rFonts w:ascii="Times New Roman" w:hAnsi="Times New Roman" w:cs="Times New Roman"/>
          <w:b/>
          <w:sz w:val="28"/>
          <w:szCs w:val="28"/>
        </w:rPr>
      </w:pPr>
      <w:r>
        <w:rPr>
          <w:rFonts w:ascii="Times New Roman" w:hAnsi="Times New Roman" w:cs="Times New Roman"/>
          <w:b/>
          <w:sz w:val="28"/>
          <w:szCs w:val="28"/>
        </w:rPr>
        <w:t xml:space="preserve">Галузь знань </w:t>
      </w:r>
      <w:r>
        <w:rPr>
          <w:rFonts w:ascii="Times New Roman" w:hAnsi="Times New Roman" w:cs="Times New Roman"/>
          <w:b/>
          <w:sz w:val="28"/>
          <w:szCs w:val="28"/>
        </w:rPr>
        <w:tab/>
      </w:r>
      <w:r>
        <w:rPr>
          <w:rFonts w:ascii="Times New Roman" w:hAnsi="Times New Roman" w:cs="Times New Roman"/>
          <w:b/>
          <w:sz w:val="28"/>
          <w:szCs w:val="28"/>
        </w:rPr>
        <w:t>03 Гуманітарні науки</w:t>
      </w:r>
    </w:p>
    <w:p>
      <w:pPr>
        <w:rPr>
          <w:rFonts w:ascii="Times New Roman" w:hAnsi="Times New Roman" w:cs="Times New Roman"/>
          <w:b/>
          <w:sz w:val="28"/>
          <w:szCs w:val="28"/>
        </w:rPr>
      </w:pPr>
      <w:r>
        <w:rPr>
          <w:rFonts w:ascii="Times New Roman" w:hAnsi="Times New Roman" w:cs="Times New Roman"/>
          <w:b/>
          <w:sz w:val="28"/>
          <w:szCs w:val="28"/>
        </w:rPr>
        <w:t xml:space="preserve">Спеціальність </w:t>
      </w:r>
      <w:r>
        <w:rPr>
          <w:rFonts w:ascii="Times New Roman" w:hAnsi="Times New Roman" w:cs="Times New Roman"/>
          <w:b/>
          <w:sz w:val="28"/>
          <w:szCs w:val="28"/>
        </w:rPr>
        <w:tab/>
      </w:r>
      <w:r>
        <w:rPr>
          <w:rFonts w:ascii="Times New Roman" w:hAnsi="Times New Roman" w:cs="Times New Roman"/>
          <w:b/>
          <w:sz w:val="28"/>
          <w:szCs w:val="28"/>
        </w:rPr>
        <w:t>035 Філологія</w:t>
      </w:r>
    </w:p>
    <w:p>
      <w:pPr>
        <w:ind w:left="2127" w:hanging="2127"/>
        <w:rPr>
          <w:rFonts w:ascii="Times New Roman" w:hAnsi="Times New Roman" w:cs="Times New Roman"/>
          <w:b/>
          <w:sz w:val="28"/>
          <w:szCs w:val="28"/>
        </w:rPr>
      </w:pPr>
      <w:r>
        <w:rPr>
          <w:rFonts w:ascii="Times New Roman" w:hAnsi="Times New Roman" w:cs="Times New Roman"/>
          <w:b/>
          <w:sz w:val="28"/>
          <w:szCs w:val="28"/>
        </w:rPr>
        <w:t xml:space="preserve">Спеціалізація    035.04 германські мови та літератури (переклад включно) </w:t>
      </w:r>
    </w:p>
    <w:p>
      <w:pPr>
        <w:ind w:left="2127" w:hanging="2127"/>
        <w:rPr>
          <w:rFonts w:ascii="Times New Roman" w:hAnsi="Times New Roman" w:cs="Times New Roman"/>
          <w:b/>
          <w:sz w:val="28"/>
          <w:szCs w:val="28"/>
        </w:rPr>
      </w:pPr>
      <w:r>
        <w:rPr>
          <w:rFonts w:ascii="Times New Roman" w:hAnsi="Times New Roman" w:cs="Times New Roman"/>
          <w:b/>
          <w:sz w:val="28"/>
          <w:szCs w:val="28"/>
        </w:rPr>
        <w:t xml:space="preserve">                             035.043 германські мови та літератури (переклад включно), перша – німецька</w:t>
      </w:r>
    </w:p>
    <w:p>
      <w:pPr>
        <w:ind w:left="2127" w:hanging="2127"/>
        <w:rPr>
          <w:rFonts w:ascii="Times New Roman" w:hAnsi="Times New Roman" w:cs="Times New Roman"/>
          <w:b/>
          <w:sz w:val="28"/>
          <w:szCs w:val="28"/>
        </w:rPr>
      </w:pPr>
      <w:r>
        <w:rPr>
          <w:rFonts w:ascii="Times New Roman" w:hAnsi="Times New Roman" w:cs="Times New Roman"/>
          <w:b/>
          <w:sz w:val="28"/>
          <w:szCs w:val="28"/>
        </w:rPr>
        <w:t>Освітня програма «Переклад (німецька мова)»</w:t>
      </w:r>
    </w:p>
    <w:p>
      <w:pPr>
        <w:ind w:left="2127" w:hanging="2127"/>
        <w:rPr>
          <w:rFonts w:ascii="Times New Roman" w:hAnsi="Times New Roman" w:cs="Times New Roman"/>
          <w:b/>
          <w:sz w:val="28"/>
          <w:szCs w:val="28"/>
        </w:rPr>
      </w:pPr>
      <w:r>
        <w:rPr>
          <w:rFonts w:ascii="Times New Roman" w:hAnsi="Times New Roman" w:cs="Times New Roman"/>
          <w:b/>
          <w:sz w:val="28"/>
          <w:szCs w:val="28"/>
        </w:rPr>
        <w:t xml:space="preserve">                                  «Переклад (німецька та друга іноземні мови)»</w:t>
      </w:r>
    </w:p>
    <w:p>
      <w:pP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 xml:space="preserve">Львів – 2020 рік </w:t>
      </w:r>
      <w:r>
        <w:rPr>
          <w:rFonts w:ascii="Times New Roman" w:hAnsi="Times New Roman" w:cs="Times New Roman"/>
          <w:b/>
          <w:sz w:val="28"/>
          <w:szCs w:val="28"/>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«Теорія перекладу»</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Теорія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Івана Франка, м. Львів, вул. Університетська,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 xml:space="preserve">035.04 Германські мови та літератури </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(переклад включно)</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035.043 германські мови та літератури (переклад включно), перша – німецька</w:t>
            </w:r>
          </w:p>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Освітня програма </w:t>
            </w:r>
            <w:r>
              <w:rPr>
                <w:rFonts w:ascii="Times New Roman" w:hAnsi="Times New Roman" w:cs="Times New Roman"/>
                <w:i/>
                <w:sz w:val="24"/>
                <w:szCs w:val="24"/>
              </w:rPr>
              <w:t>Переклад (німецька мова)</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«Переклад (німецька та друга іноземні мови)»</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ВИКЛАДАЧА</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Прізвище, ім'я, по батькові</w:t>
            </w:r>
          </w:p>
        </w:tc>
        <w:tc>
          <w:tcPr>
            <w:tcW w:w="6486"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Ляшенко Тетяна Степанівна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Науковий ступінь</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Вчене звання</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доцент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Посада </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доцент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 роботи</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Електронна адреса</w:t>
            </w:r>
          </w:p>
        </w:tc>
        <w:tc>
          <w:tcPr>
            <w:tcW w:w="648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tetyana.lyashenko@lnu.edu.ua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Сторінка викладача</w:t>
            </w:r>
          </w:p>
        </w:tc>
        <w:tc>
          <w:tcPr>
            <w:tcW w:w="648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https://lingua.lnu.edu.ua/employee/lyashenko-tetyana-stepanivna</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 xml:space="preserve">КОНСУЛЬТАЦІЇ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Час</w:t>
            </w:r>
          </w:p>
        </w:tc>
        <w:tc>
          <w:tcPr>
            <w:tcW w:w="648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Щопонеділка, 15.00-16.20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w:t>
            </w:r>
          </w:p>
        </w:tc>
        <w:tc>
          <w:tcPr>
            <w:tcW w:w="6486" w:type="dxa"/>
          </w:tcPr>
          <w:p>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КУРС</w:t>
      </w:r>
    </w:p>
    <w:tbl>
      <w:tblPr>
        <w:tblStyle w:val="15"/>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7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Сторінка курсу</w:t>
            </w:r>
          </w:p>
        </w:tc>
        <w:tc>
          <w:tcPr>
            <w:tcW w:w="7572" w:type="dxa"/>
          </w:tcPr>
          <w:p>
            <w:pPr>
              <w:spacing w:after="0" w:line="240" w:lineRule="auto"/>
              <w:jc w:val="both"/>
              <w:rPr>
                <w:rFonts w:ascii="Times New Roman" w:hAnsi="Times New Roman" w:cs="Times New Roman"/>
                <w:b/>
                <w:bCs/>
                <w:sz w:val="24"/>
                <w:szCs w:val="24"/>
              </w:rPr>
            </w:pPr>
            <w:r>
              <w:fldChar w:fldCharType="begin"/>
            </w:r>
            <w:r>
              <w:instrText xml:space="preserve"> HYPERLINK "https://lingua.lnu.edu.ua/department/mizhkulturnoji-komunikatsiji-ta-perekladu" \h </w:instrText>
            </w:r>
            <w:r>
              <w:fldChar w:fldCharType="separate"/>
            </w:r>
            <w:r>
              <w:rPr>
                <w:rStyle w:val="13"/>
                <w:rFonts w:ascii="Times New Roman" w:hAnsi="Times New Roman" w:cs="Times New Roman"/>
              </w:rPr>
              <w:t>https://lingua.lnu.edu.ua/department/mizhkulturnoji-komunikatsiji-ta-perekladu</w:t>
            </w:r>
            <w:r>
              <w:rPr>
                <w:rStyle w:val="13"/>
                <w:rFonts w:ascii="Times New Roman" w:hAnsi="Times New Roman" w:cs="Times New Roman"/>
              </w:rPr>
              <w:fldChar w:fldCharType="end"/>
            </w:r>
            <w:r>
              <w:rPr>
                <w:rFonts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Коротка анотація курсу</w:t>
            </w:r>
          </w:p>
        </w:tc>
        <w:tc>
          <w:tcPr>
            <w:tcW w:w="7572" w:type="dxa"/>
          </w:tcPr>
          <w:p>
            <w:pPr>
              <w:spacing w:after="0" w:line="240" w:lineRule="auto"/>
              <w:ind w:right="317"/>
              <w:jc w:val="both"/>
              <w:rPr>
                <w:rFonts w:ascii="Times New Roman" w:hAnsi="Times New Roman" w:cs="Times New Roman"/>
                <w:b/>
                <w:sz w:val="24"/>
                <w:szCs w:val="24"/>
              </w:rPr>
            </w:pPr>
            <w:r>
              <w:rPr>
                <w:rFonts w:ascii="Times New Roman" w:hAnsi="Times New Roman" w:cs="Times New Roman"/>
                <w:sz w:val="24"/>
                <w:szCs w:val="24"/>
              </w:rPr>
              <w:t>Дисципліна «Теорія перекладу» є нормативною дисципліною зі спеціальності 035 Філологія для освітніх програм «Переклад (німецька мова)»,</w:t>
            </w:r>
            <w:r>
              <w:t xml:space="preserve"> </w:t>
            </w:r>
            <w:r>
              <w:rPr>
                <w:rFonts w:ascii="Times New Roman" w:hAnsi="Times New Roman" w:cs="Times New Roman"/>
                <w:sz w:val="24"/>
                <w:szCs w:val="24"/>
              </w:rPr>
              <w:t>«Переклад (німецька та друга іноземні мови)»,  ОС «бакалавр», яка викладається в 6-8 семестрі в обсязі 5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rPr>
              <w:t>Мета та цілі курсу</w:t>
            </w:r>
          </w:p>
        </w:tc>
        <w:tc>
          <w:tcPr>
            <w:tcW w:w="7572" w:type="dxa"/>
          </w:tcPr>
          <w:p>
            <w:pPr>
              <w:tabs>
                <w:tab w:val="left" w:pos="284"/>
                <w:tab w:val="left" w:pos="567"/>
              </w:tabs>
              <w:spacing w:after="0" w:line="240" w:lineRule="auto"/>
              <w:ind w:right="317"/>
              <w:jc w:val="both"/>
              <w:rPr>
                <w:rFonts w:ascii="Times New Roman" w:hAnsi="Times New Roman" w:cs="Times New Roman"/>
                <w:sz w:val="24"/>
              </w:rPr>
            </w:pPr>
            <w:r>
              <w:rPr>
                <w:rFonts w:ascii="Times New Roman" w:hAnsi="Times New Roman" w:cs="Times New Roman"/>
                <w:b/>
                <w:i/>
                <w:sz w:val="24"/>
              </w:rPr>
              <w:t>Мета</w:t>
            </w:r>
            <w:r>
              <w:rPr>
                <w:rFonts w:ascii="Times New Roman" w:hAnsi="Times New Roman" w:cs="Times New Roman"/>
                <w:sz w:val="24"/>
              </w:rPr>
              <w:t xml:space="preserve"> курсу – надати студентам базові теоретичні знання з перекладу як особливого виду лінгвістичної діяльності. Курс знайомить студентів з різними теоріями перекладу, принципами, методами та прийомами його здійснення на практиці. Курс висвітлює поняття перекладацької еквівалентності та адекватності перекладу, знайомить з основними типами перекладу залежно від типу та функцій тексту, аналізує лексико-граматичні та стилістичні труднощі перекладу.</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 xml:space="preserve">Основне </w:t>
            </w:r>
            <w:r>
              <w:rPr>
                <w:rFonts w:ascii="Times New Roman" w:hAnsi="Times New Roman"/>
                <w:b/>
                <w:i/>
                <w:sz w:val="24"/>
                <w:szCs w:val="24"/>
              </w:rPr>
              <w:t>завдання</w:t>
            </w:r>
            <w:r>
              <w:rPr>
                <w:rFonts w:ascii="Times New Roman" w:hAnsi="Times New Roman"/>
                <w:sz w:val="24"/>
                <w:szCs w:val="24"/>
              </w:rPr>
              <w:t xml:space="preserve"> курсу – створити концептуальну базу для подальшого набуття студентами практичних умінь та навичок у галузі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572" w:type="dxa"/>
          </w:tcPr>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Основна</w:t>
            </w:r>
          </w:p>
          <w:p>
            <w:pPr>
              <w:pStyle w:val="18"/>
              <w:numPr>
                <w:ilvl w:val="0"/>
                <w:numId w:val="1"/>
              </w:numPr>
              <w:spacing w:after="0" w:line="240" w:lineRule="auto"/>
              <w:ind w:left="376" w:hanging="376"/>
              <w:jc w:val="both"/>
              <w:rPr>
                <w:rFonts w:ascii="Times New Roman" w:hAnsi="Times New Roman" w:cs="Times New Roman"/>
                <w:sz w:val="24"/>
                <w:szCs w:val="24"/>
              </w:rPr>
            </w:pPr>
            <w:r>
              <w:rPr>
                <w:rFonts w:ascii="Times New Roman" w:hAnsi="Times New Roman" w:cs="Times New Roman"/>
                <w:sz w:val="24"/>
                <w:szCs w:val="24"/>
              </w:rPr>
              <w:t>Кияк Т. Р., Науменко А. М., Огуй О. Д. Теорія і практика перекладу німецької мови. – Вінниця: Нова книга, 2006. – 596 с.</w:t>
            </w:r>
          </w:p>
          <w:p>
            <w:pPr>
              <w:pStyle w:val="18"/>
              <w:numPr>
                <w:ilvl w:val="0"/>
                <w:numId w:val="1"/>
              </w:numPr>
              <w:spacing w:after="0" w:line="240" w:lineRule="auto"/>
              <w:ind w:left="376" w:hanging="376"/>
              <w:jc w:val="both"/>
              <w:rPr>
                <w:rFonts w:ascii="Times New Roman" w:hAnsi="Times New Roman" w:cs="Times New Roman"/>
                <w:sz w:val="24"/>
                <w:szCs w:val="24"/>
              </w:rPr>
            </w:pPr>
            <w:r>
              <w:rPr>
                <w:rFonts w:ascii="Times New Roman" w:hAnsi="Times New Roman" w:cs="Times New Roman"/>
                <w:sz w:val="24"/>
                <w:szCs w:val="24"/>
              </w:rPr>
              <w:t>Назаркевич Х.Я. Основи перекладознавства в 2 ч. Ч. 1 : Видавничий центр ЛНУ імені Івана Франка, 2010. – 298 с.</w:t>
            </w:r>
          </w:p>
          <w:p>
            <w:pPr>
              <w:pStyle w:val="18"/>
              <w:numPr>
                <w:ilvl w:val="0"/>
                <w:numId w:val="1"/>
              </w:numPr>
              <w:spacing w:after="200" w:line="276" w:lineRule="auto"/>
              <w:ind w:left="376" w:hanging="376"/>
              <w:jc w:val="both"/>
              <w:rPr>
                <w:rFonts w:ascii="Times New Roman" w:hAnsi="Times New Roman" w:cs="Times New Roman"/>
                <w:sz w:val="24"/>
                <w:szCs w:val="24"/>
              </w:rPr>
            </w:pPr>
            <w:r>
              <w:rPr>
                <w:rFonts w:ascii="Times New Roman" w:hAnsi="Times New Roman" w:cs="Times New Roman"/>
                <w:sz w:val="24"/>
                <w:szCs w:val="24"/>
              </w:rPr>
              <w:t xml:space="preserve">Albrecht J. Grundlagen der Übersetzungsforschung. Band 2: Übersetzung und Linguistik. Tübingen. Gunter Narr Verlag, 2005. 313. </w:t>
            </w:r>
          </w:p>
          <w:p>
            <w:pPr>
              <w:pStyle w:val="18"/>
              <w:numPr>
                <w:ilvl w:val="0"/>
                <w:numId w:val="1"/>
              </w:numPr>
              <w:spacing w:after="200" w:line="276" w:lineRule="auto"/>
              <w:ind w:left="376" w:hanging="376"/>
              <w:jc w:val="both"/>
              <w:rPr>
                <w:rFonts w:ascii="Times New Roman" w:hAnsi="Times New Roman" w:cs="Times New Roman"/>
                <w:sz w:val="24"/>
                <w:szCs w:val="24"/>
              </w:rPr>
            </w:pPr>
            <w:r>
              <w:rPr>
                <w:rFonts w:ascii="Times New Roman" w:hAnsi="Times New Roman" w:cs="Times New Roman"/>
                <w:color w:val="000000"/>
                <w:sz w:val="24"/>
                <w:szCs w:val="24"/>
              </w:rPr>
              <w:t xml:space="preserve">Honig H. G., Kußmaul P. Strategie der Übersetzung. Ein Lehr- und Arbeitsbuch.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Tübingen: Narr, 1996. </w:t>
            </w:r>
            <w:r>
              <w:rPr>
                <w:rFonts w:ascii="Times New Roman" w:hAnsi="Times New Roman" w:cs="Times New Roman"/>
                <w:sz w:val="24"/>
                <w:szCs w:val="24"/>
              </w:rPr>
              <w:t xml:space="preserve">– </w:t>
            </w:r>
            <w:r>
              <w:rPr>
                <w:rFonts w:ascii="Times New Roman" w:hAnsi="Times New Roman" w:cs="Times New Roman"/>
                <w:color w:val="000000"/>
                <w:sz w:val="24"/>
                <w:szCs w:val="24"/>
              </w:rPr>
              <w:t>236 S.</w:t>
            </w:r>
          </w:p>
          <w:p>
            <w:pPr>
              <w:pStyle w:val="18"/>
              <w:numPr>
                <w:ilvl w:val="0"/>
                <w:numId w:val="1"/>
              </w:numPr>
              <w:spacing w:after="0" w:line="240" w:lineRule="auto"/>
              <w:ind w:left="376" w:hanging="376"/>
              <w:jc w:val="both"/>
              <w:rPr>
                <w:rFonts w:ascii="Times New Roman" w:hAnsi="Times New Roman" w:cs="Times New Roman"/>
                <w:sz w:val="24"/>
                <w:szCs w:val="24"/>
              </w:rPr>
            </w:pPr>
            <w:r>
              <w:rPr>
                <w:rFonts w:ascii="Times New Roman" w:hAnsi="Times New Roman" w:cs="Times New Roman"/>
                <w:sz w:val="24"/>
                <w:szCs w:val="24"/>
              </w:rPr>
              <w:t>Kautz, Ulrich. Handbuch Didaktik des Übersetzens und Dolmetschens. München: Iudicium und Goethe Institut, 2002. – 632 S.</w:t>
            </w:r>
          </w:p>
          <w:p>
            <w:pPr>
              <w:pStyle w:val="18"/>
              <w:numPr>
                <w:ilvl w:val="0"/>
                <w:numId w:val="1"/>
              </w:numPr>
              <w:spacing w:after="0" w:line="240" w:lineRule="auto"/>
              <w:ind w:left="376" w:hanging="376"/>
              <w:jc w:val="both"/>
              <w:rPr>
                <w:rFonts w:ascii="Times New Roman" w:hAnsi="Times New Roman" w:cs="Times New Roman"/>
                <w:sz w:val="24"/>
                <w:szCs w:val="24"/>
              </w:rPr>
            </w:pPr>
            <w:r>
              <w:rPr>
                <w:rFonts w:ascii="Times New Roman" w:hAnsi="Times New Roman" w:cs="Times New Roman"/>
                <w:color w:val="000000"/>
                <w:sz w:val="24"/>
                <w:szCs w:val="24"/>
              </w:rPr>
              <w:t xml:space="preserve">Koller W. Einführung in die Übersetzungsswissenschaft.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Wiesbaden: Quelle und Meyer, 1997. </w:t>
            </w:r>
            <w:r>
              <w:rPr>
                <w:rFonts w:ascii="Times New Roman" w:hAnsi="Times New Roman" w:cs="Times New Roman"/>
                <w:sz w:val="24"/>
                <w:szCs w:val="24"/>
              </w:rPr>
              <w:t xml:space="preserve">– </w:t>
            </w:r>
            <w:r>
              <w:rPr>
                <w:rFonts w:ascii="Times New Roman" w:hAnsi="Times New Roman" w:cs="Times New Roman"/>
                <w:color w:val="000000"/>
                <w:sz w:val="24"/>
                <w:szCs w:val="24"/>
              </w:rPr>
              <w:t>344 S.</w:t>
            </w:r>
          </w:p>
          <w:p>
            <w:pPr>
              <w:pStyle w:val="18"/>
              <w:numPr>
                <w:ilvl w:val="0"/>
                <w:numId w:val="1"/>
              </w:numPr>
              <w:spacing w:after="0" w:line="240" w:lineRule="auto"/>
              <w:ind w:left="376" w:hanging="376"/>
              <w:jc w:val="both"/>
              <w:rPr>
                <w:rFonts w:ascii="Times New Roman" w:hAnsi="Times New Roman" w:cs="Times New Roman"/>
                <w:sz w:val="24"/>
                <w:szCs w:val="24"/>
              </w:rPr>
            </w:pPr>
            <w:r>
              <w:rPr>
                <w:rFonts w:ascii="Times New Roman" w:hAnsi="Times New Roman" w:cs="Times New Roman"/>
                <w:color w:val="000000"/>
                <w:sz w:val="24"/>
                <w:szCs w:val="24"/>
              </w:rPr>
              <w:t>Nord C</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Textanalyse und Übersetzen. Theoretische Grundlagen, Methode und didaktische Anwendung einer übersetzungsrelevanten Textanalyse.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Heidelberg: Groos, 1995. </w:t>
            </w:r>
            <w:r>
              <w:rPr>
                <w:rFonts w:ascii="Times New Roman" w:hAnsi="Times New Roman" w:cs="Times New Roman"/>
                <w:sz w:val="24"/>
                <w:szCs w:val="24"/>
              </w:rPr>
              <w:t xml:space="preserve">– </w:t>
            </w:r>
            <w:r>
              <w:rPr>
                <w:rFonts w:ascii="Times New Roman" w:hAnsi="Times New Roman" w:cs="Times New Roman"/>
                <w:color w:val="000000"/>
                <w:sz w:val="24"/>
                <w:szCs w:val="24"/>
              </w:rPr>
              <w:t>285 S.</w:t>
            </w:r>
          </w:p>
          <w:p>
            <w:pPr>
              <w:pStyle w:val="18"/>
              <w:numPr>
                <w:ilvl w:val="0"/>
                <w:numId w:val="1"/>
              </w:numPr>
              <w:spacing w:after="0" w:line="240" w:lineRule="auto"/>
              <w:ind w:left="376" w:hanging="376"/>
              <w:jc w:val="both"/>
              <w:rPr>
                <w:rFonts w:ascii="Times New Roman" w:hAnsi="Times New Roman" w:cs="Times New Roman"/>
                <w:sz w:val="24"/>
                <w:szCs w:val="24"/>
              </w:rPr>
            </w:pPr>
            <w:r>
              <w:fldChar w:fldCharType="begin"/>
            </w:r>
            <w:r>
              <w:instrText xml:space="preserve"> HYPERLINK "http://en.wikipedia.org/w/index.php?title=Mary_Snell-Hornby&amp;action=edit&amp;redlink=1" \o "Mary Snell-Hornby (page does not exist)" </w:instrText>
            </w:r>
            <w:r>
              <w:fldChar w:fldCharType="separate"/>
            </w:r>
            <w:r>
              <w:rPr>
                <w:rStyle w:val="13"/>
                <w:rFonts w:ascii="Times New Roman" w:hAnsi="Times New Roman" w:eastAsia="Batang" w:cs="Times New Roman"/>
                <w:color w:val="auto"/>
                <w:sz w:val="24"/>
                <w:szCs w:val="24"/>
              </w:rPr>
              <w:t>Snell-Hornby, Mary</w:t>
            </w:r>
            <w:r>
              <w:rPr>
                <w:rStyle w:val="13"/>
                <w:rFonts w:ascii="Times New Roman" w:hAnsi="Times New Roman" w:eastAsia="Batang" w:cs="Times New Roman"/>
                <w:color w:val="auto"/>
                <w:sz w:val="24"/>
                <w:szCs w:val="24"/>
              </w:rPr>
              <w:fldChar w:fldCharType="end"/>
            </w:r>
            <w:r>
              <w:rPr>
                <w:rFonts w:ascii="Times New Roman" w:hAnsi="Times New Roman" w:cs="Times New Roman"/>
                <w:sz w:val="24"/>
                <w:szCs w:val="24"/>
              </w:rPr>
              <w:t xml:space="preserve">/Hönig, Hans G./Kußmaul, Paul/Schmitt, Peter A.: </w:t>
            </w:r>
            <w:r>
              <w:rPr>
                <w:rFonts w:ascii="Times New Roman" w:hAnsi="Times New Roman" w:cs="Times New Roman"/>
                <w:iCs/>
                <w:sz w:val="24"/>
                <w:szCs w:val="24"/>
              </w:rPr>
              <w:t xml:space="preserve">Handbuch Translation. Tübingen. </w:t>
            </w:r>
            <w:r>
              <w:rPr>
                <w:rFonts w:ascii="Times New Roman" w:hAnsi="Times New Roman" w:cs="Times New Roman"/>
                <w:sz w:val="24"/>
                <w:szCs w:val="24"/>
              </w:rPr>
              <w:t>Stauffenburg Verlag</w:t>
            </w:r>
            <w:r>
              <w:rPr>
                <w:rFonts w:ascii="Times New Roman" w:hAnsi="Times New Roman" w:cs="Times New Roman"/>
                <w:iCs/>
                <w:sz w:val="24"/>
                <w:szCs w:val="24"/>
              </w:rPr>
              <w:t>,</w:t>
            </w:r>
            <w:r>
              <w:rPr>
                <w:rFonts w:ascii="Times New Roman" w:hAnsi="Times New Roman" w:cs="Times New Roman"/>
                <w:sz w:val="24"/>
                <w:szCs w:val="24"/>
              </w:rPr>
              <w:t xml:space="preserve"> 2006. 430.</w:t>
            </w:r>
          </w:p>
          <w:p>
            <w:pPr>
              <w:pStyle w:val="18"/>
              <w:numPr>
                <w:ilvl w:val="0"/>
                <w:numId w:val="1"/>
              </w:numPr>
              <w:spacing w:after="0" w:line="240" w:lineRule="auto"/>
              <w:ind w:left="376" w:hanging="376"/>
              <w:jc w:val="both"/>
              <w:rPr>
                <w:rStyle w:val="25"/>
                <w:rFonts w:ascii="Times New Roman" w:hAnsi="Times New Roman" w:cs="Times New Roman"/>
                <w:sz w:val="24"/>
                <w:szCs w:val="24"/>
              </w:rPr>
            </w:pPr>
            <w:r>
              <w:rPr>
                <w:rStyle w:val="11"/>
                <w:rFonts w:ascii="Times New Roman" w:hAnsi="Times New Roman" w:cs="Times New Roman"/>
                <w:i w:val="0"/>
                <w:sz w:val="24"/>
                <w:szCs w:val="24"/>
              </w:rPr>
              <w:t>Stolze R</w:t>
            </w:r>
            <w:r>
              <w:rPr>
                <w:rStyle w:val="25"/>
                <w:rFonts w:ascii="Times New Roman" w:hAnsi="Times New Roman" w:cs="Times New Roman"/>
                <w:sz w:val="24"/>
                <w:szCs w:val="24"/>
              </w:rPr>
              <w:t xml:space="preserve">. </w:t>
            </w:r>
            <w:r>
              <w:rPr>
                <w:rStyle w:val="11"/>
                <w:rFonts w:ascii="Times New Roman" w:hAnsi="Times New Roman" w:cs="Times New Roman"/>
                <w:i w:val="0"/>
                <w:sz w:val="24"/>
                <w:szCs w:val="24"/>
              </w:rPr>
              <w:t>Übersetzungstheorien</w:t>
            </w:r>
            <w:r>
              <w:rPr>
                <w:rStyle w:val="25"/>
                <w:rFonts w:ascii="Times New Roman" w:hAnsi="Times New Roman" w:cs="Times New Roman"/>
                <w:sz w:val="24"/>
                <w:szCs w:val="24"/>
              </w:rPr>
              <w:t>. Eine Einführung. Verlag</w:t>
            </w:r>
            <w:r>
              <w:rPr>
                <w:rStyle w:val="16"/>
                <w:rFonts w:eastAsia="Calibri"/>
                <w:sz w:val="24"/>
              </w:rPr>
              <w:t xml:space="preserve"> </w:t>
            </w:r>
            <w:r>
              <w:rPr>
                <w:rStyle w:val="25"/>
                <w:rFonts w:ascii="Times New Roman" w:hAnsi="Times New Roman" w:cs="Times New Roman"/>
                <w:sz w:val="24"/>
                <w:szCs w:val="24"/>
              </w:rPr>
              <w:t>Tübingen: Narr Verlag, 5., überarb. und erweiterte Auflage 2008, 285 S.</w:t>
            </w:r>
          </w:p>
          <w:p>
            <w:pPr>
              <w:pStyle w:val="18"/>
              <w:numPr>
                <w:ilvl w:val="0"/>
                <w:numId w:val="1"/>
              </w:numPr>
              <w:spacing w:after="0" w:line="240" w:lineRule="auto"/>
              <w:ind w:left="376" w:hanging="376"/>
              <w:rPr>
                <w:rStyle w:val="25"/>
                <w:rFonts w:ascii="Times New Roman" w:hAnsi="Times New Roman" w:cs="Times New Roman"/>
                <w:sz w:val="24"/>
                <w:szCs w:val="24"/>
              </w:rPr>
            </w:pPr>
            <w:r>
              <w:rPr>
                <w:rStyle w:val="25"/>
                <w:rFonts w:ascii="Times New Roman" w:hAnsi="Times New Roman" w:cs="Times New Roman"/>
                <w:sz w:val="24"/>
                <w:szCs w:val="24"/>
              </w:rPr>
              <w:t>Witte H. Die Kulturkompetenz des Translators. Begriffliche Grundlegung und Didaktisierung. Tübingen. Stauffenburg Verlag, 2. Auflage 2007. 235.</w:t>
            </w:r>
          </w:p>
          <w:p>
            <w:pPr>
              <w:pStyle w:val="18"/>
              <w:spacing w:after="0" w:line="240" w:lineRule="auto"/>
              <w:ind w:left="376" w:hanging="376"/>
              <w:jc w:val="both"/>
              <w:rPr>
                <w:rFonts w:ascii="Times New Roman" w:hAnsi="Times New Roman" w:cs="Times New Roman"/>
                <w:sz w:val="24"/>
                <w:szCs w:val="24"/>
              </w:rPr>
            </w:pPr>
            <w:r>
              <w:rPr>
                <w:rStyle w:val="25"/>
                <w:rFonts w:ascii="Times New Roman" w:hAnsi="Times New Roman" w:cs="Times New Roman"/>
                <w:sz w:val="24"/>
                <w:szCs w:val="24"/>
              </w:rPr>
              <w:t xml:space="preserve"> </w:t>
            </w:r>
          </w:p>
          <w:p>
            <w:pPr>
              <w:spacing w:after="0" w:line="240" w:lineRule="auto"/>
              <w:ind w:left="376" w:hanging="376"/>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Додаткова</w:t>
            </w:r>
          </w:p>
          <w:p>
            <w:pPr>
              <w:pStyle w:val="18"/>
              <w:numPr>
                <w:ilvl w:val="0"/>
                <w:numId w:val="1"/>
              </w:numPr>
              <w:spacing w:after="0" w:line="240" w:lineRule="auto"/>
              <w:ind w:left="376" w:hanging="376"/>
              <w:jc w:val="both"/>
              <w:rPr>
                <w:rFonts w:ascii="Times New Roman" w:hAnsi="Times New Roman" w:cs="Times New Roman"/>
                <w:sz w:val="24"/>
                <w:szCs w:val="24"/>
              </w:rPr>
            </w:pPr>
            <w:r>
              <w:rPr>
                <w:rFonts w:ascii="Times New Roman" w:hAnsi="Times New Roman" w:cs="Times New Roman"/>
                <w:sz w:val="24"/>
                <w:szCs w:val="24"/>
              </w:rPr>
              <w:t xml:space="preserve">Алексеева И. С. Профессиональное обучение переводчика: Учебное пособие по устному и письменному переводу для переводчиков и преподавателей. – СПб.: Издательство «Союз», 2001. – 288 с. </w:t>
            </w:r>
          </w:p>
          <w:p>
            <w:pPr>
              <w:pStyle w:val="18"/>
              <w:numPr>
                <w:ilvl w:val="0"/>
                <w:numId w:val="1"/>
              </w:numPr>
              <w:spacing w:after="0" w:line="240" w:lineRule="auto"/>
              <w:ind w:left="376" w:hanging="376"/>
              <w:jc w:val="both"/>
              <w:rPr>
                <w:rFonts w:ascii="Times New Roman" w:hAnsi="Times New Roman" w:cs="Times New Roman"/>
                <w:sz w:val="24"/>
                <w:szCs w:val="24"/>
              </w:rPr>
            </w:pPr>
            <w:r>
              <w:rPr>
                <w:rFonts w:ascii="Times New Roman" w:hAnsi="Times New Roman" w:cs="Times New Roman"/>
                <w:sz w:val="24"/>
                <w:szCs w:val="24"/>
              </w:rPr>
              <w:t xml:space="preserve">Брандес М. П., Поворотов В. И. Предпереводческий анализ текста (для ин-тов и ф-тов иностр.яз.). – 3-е изд. – М.: НВИ – Тезаурус, 2001. </w:t>
            </w:r>
          </w:p>
          <w:p>
            <w:pPr>
              <w:pStyle w:val="18"/>
              <w:numPr>
                <w:ilvl w:val="0"/>
                <w:numId w:val="1"/>
              </w:numPr>
              <w:spacing w:after="0" w:line="240" w:lineRule="auto"/>
              <w:ind w:left="376" w:hanging="376"/>
              <w:jc w:val="both"/>
              <w:rPr>
                <w:rFonts w:ascii="Times New Roman" w:hAnsi="Times New Roman" w:cs="Times New Roman"/>
                <w:sz w:val="24"/>
                <w:szCs w:val="24"/>
              </w:rPr>
            </w:pPr>
            <w:r>
              <w:rPr>
                <w:rFonts w:ascii="Times New Roman" w:hAnsi="Times New Roman" w:cs="Times New Roman"/>
                <w:color w:val="000000"/>
                <w:sz w:val="24"/>
                <w:szCs w:val="24"/>
              </w:rPr>
              <w:t>Брандес М. П. Переводческая стилистика: немецкий язык: Практикум для самостоятельной работы : Учеб. пособие для студентов ин-тов и фак-тов иностр. языков. - М.: Высш. школа, 1988. - 126 с.</w:t>
            </w:r>
          </w:p>
          <w:p>
            <w:pPr>
              <w:pStyle w:val="18"/>
              <w:numPr>
                <w:ilvl w:val="0"/>
                <w:numId w:val="1"/>
              </w:numPr>
              <w:spacing w:after="0" w:line="240" w:lineRule="auto"/>
              <w:ind w:left="376" w:hanging="376"/>
              <w:jc w:val="both"/>
              <w:rPr>
                <w:rFonts w:ascii="Times New Roman" w:hAnsi="Times New Roman" w:cs="Times New Roman"/>
                <w:sz w:val="24"/>
                <w:szCs w:val="24"/>
              </w:rPr>
            </w:pPr>
            <w:r>
              <w:rPr>
                <w:rFonts w:ascii="Times New Roman" w:hAnsi="Times New Roman" w:eastAsia="Times New Roman" w:cs="Times New Roman"/>
                <w:sz w:val="24"/>
                <w:szCs w:val="24"/>
                <w:lang w:eastAsia="ru-RU"/>
              </w:rPr>
              <w:t>Зорівчак Р.П. Фразеологічна одиниця як перекладознавча категорія (на</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матеріалі перекладів творів української літератури англійською мовою).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Львів, “Вища школа”, 1983.</w:t>
            </w:r>
          </w:p>
          <w:p>
            <w:pPr>
              <w:pStyle w:val="23"/>
              <w:numPr>
                <w:ilvl w:val="0"/>
                <w:numId w:val="1"/>
              </w:numPr>
              <w:spacing w:after="23"/>
              <w:ind w:left="376" w:hanging="376"/>
              <w:jc w:val="both"/>
            </w:pPr>
            <w:r>
              <w:t>Зорівчак Р. П. Реалія і переклад : на матеріалі англомовних перекладів української прози / Р. П. Зорівчак. - Львів : Видавництво при Львівському державному університеті, 1989. – 215 с.</w:t>
            </w:r>
          </w:p>
          <w:p>
            <w:pPr>
              <w:pStyle w:val="23"/>
              <w:numPr>
                <w:ilvl w:val="0"/>
                <w:numId w:val="1"/>
              </w:numPr>
              <w:spacing w:after="23"/>
              <w:ind w:left="376" w:hanging="376"/>
              <w:jc w:val="both"/>
            </w:pPr>
            <w:r>
              <w:t>Кияк, Т.Р. (2007) Функції та переклад термінів у фахових текстах. ВІСНИК Житомирського державного університету імені Івана Франка (32). pp. 104-108.</w:t>
            </w:r>
          </w:p>
          <w:p>
            <w:pPr>
              <w:pStyle w:val="18"/>
              <w:numPr>
                <w:ilvl w:val="0"/>
                <w:numId w:val="1"/>
              </w:numPr>
              <w:spacing w:after="0" w:line="240" w:lineRule="auto"/>
              <w:ind w:left="376" w:hanging="376"/>
              <w:jc w:val="both"/>
              <w:rPr>
                <w:rFonts w:ascii="Times New Roman" w:hAnsi="Times New Roman" w:cs="Times New Roman"/>
                <w:sz w:val="24"/>
                <w:szCs w:val="24"/>
              </w:rPr>
            </w:pPr>
            <w:r>
              <w:rPr>
                <w:rFonts w:ascii="Times New Roman" w:hAnsi="Times New Roman" w:cs="Times New Roman"/>
                <w:sz w:val="24"/>
                <w:szCs w:val="24"/>
              </w:rPr>
              <w:t xml:space="preserve">Комиссаров В. Н. Теория перевода (лингвистические аспекты): Учебник для институтов и факультетов иностранных языков. — М., 1990. </w:t>
            </w:r>
          </w:p>
          <w:p>
            <w:pPr>
              <w:pStyle w:val="18"/>
              <w:numPr>
                <w:ilvl w:val="0"/>
                <w:numId w:val="1"/>
              </w:numPr>
              <w:spacing w:after="0" w:line="240" w:lineRule="auto"/>
              <w:ind w:left="376" w:hanging="376"/>
              <w:jc w:val="both"/>
              <w:rPr>
                <w:rFonts w:ascii="Times New Roman" w:hAnsi="Times New Roman" w:cs="Times New Roman"/>
                <w:sz w:val="24"/>
                <w:szCs w:val="24"/>
              </w:rPr>
            </w:pPr>
            <w:r>
              <w:rPr>
                <w:rFonts w:ascii="Times New Roman" w:hAnsi="Times New Roman" w:cs="Times New Roman"/>
                <w:sz w:val="24"/>
                <w:szCs w:val="24"/>
              </w:rPr>
              <w:t xml:space="preserve">Коптілов В. В. Теорія і практика перекладу : навчальний посібник / Віктор Коптілов. – Київ : Юніверс, 2003. – 280 с.  </w:t>
            </w:r>
          </w:p>
          <w:p>
            <w:pPr>
              <w:pStyle w:val="18"/>
              <w:numPr>
                <w:ilvl w:val="0"/>
                <w:numId w:val="1"/>
              </w:numPr>
              <w:spacing w:after="0" w:line="240" w:lineRule="auto"/>
              <w:ind w:left="376" w:hanging="376"/>
              <w:jc w:val="both"/>
              <w:rPr>
                <w:rFonts w:ascii="Times New Roman" w:hAnsi="Times New Roman" w:cs="Times New Roman"/>
                <w:sz w:val="24"/>
                <w:szCs w:val="24"/>
              </w:rPr>
            </w:pPr>
            <w:r>
              <w:rPr>
                <w:rFonts w:ascii="Times New Roman" w:hAnsi="Times New Roman" w:cs="Times New Roman"/>
                <w:sz w:val="24"/>
                <w:szCs w:val="24"/>
              </w:rPr>
              <w:t>Корунець У.В. Теорія і практика перекладу. - Київ,1986.</w:t>
            </w:r>
          </w:p>
          <w:p>
            <w:pPr>
              <w:pStyle w:val="18"/>
              <w:numPr>
                <w:ilvl w:val="0"/>
                <w:numId w:val="1"/>
              </w:numPr>
              <w:spacing w:after="0" w:line="240" w:lineRule="auto"/>
              <w:ind w:left="376" w:hanging="376"/>
              <w:jc w:val="both"/>
              <w:rPr>
                <w:rFonts w:ascii="Times New Roman" w:hAnsi="Times New Roman" w:cs="Times New Roman"/>
                <w:sz w:val="24"/>
                <w:szCs w:val="24"/>
              </w:rPr>
            </w:pPr>
            <w:r>
              <w:rPr>
                <w:rFonts w:ascii="Times New Roman" w:hAnsi="Times New Roman" w:cs="Times New Roman"/>
                <w:sz w:val="24"/>
                <w:szCs w:val="24"/>
              </w:rPr>
              <w:t>Нямцу А. С., Гураль М. І. Типологія перекладу. Навчальний посібник. – Чернівці, Рута, 2008. – 96 с.</w:t>
            </w:r>
          </w:p>
          <w:p>
            <w:pPr>
              <w:spacing w:after="0" w:line="240" w:lineRule="auto"/>
              <w:ind w:left="376" w:hanging="376"/>
              <w:jc w:val="both"/>
              <w:rPr>
                <w:rFonts w:ascii="Times New Roman" w:hAnsi="Times New Roman" w:cs="Times New Roman"/>
                <w:bCs/>
                <w:spacing w:val="-6"/>
                <w:sz w:val="24"/>
              </w:rPr>
            </w:pPr>
          </w:p>
          <w:p>
            <w:pPr>
              <w:spacing w:after="0" w:line="240" w:lineRule="auto"/>
              <w:ind w:left="376" w:hanging="376"/>
              <w:jc w:val="center"/>
              <w:rPr>
                <w:rFonts w:ascii="Times New Roman" w:hAnsi="Times New Roman" w:cs="Times New Roman"/>
                <w:b/>
                <w:bCs/>
                <w:i/>
                <w:spacing w:val="-6"/>
                <w:sz w:val="24"/>
              </w:rPr>
            </w:pPr>
            <w:r>
              <w:rPr>
                <w:rFonts w:ascii="Times New Roman" w:hAnsi="Times New Roman" w:cs="Times New Roman"/>
                <w:b/>
                <w:bCs/>
                <w:i/>
                <w:spacing w:val="-6"/>
                <w:sz w:val="24"/>
              </w:rPr>
              <w:t>Інтернет-ресурси</w:t>
            </w:r>
          </w:p>
          <w:p>
            <w:pPr>
              <w:pStyle w:val="18"/>
              <w:widowControl w:val="0"/>
              <w:numPr>
                <w:ilvl w:val="3"/>
                <w:numId w:val="1"/>
              </w:numPr>
              <w:spacing w:after="0" w:line="240" w:lineRule="auto"/>
              <w:ind w:left="376" w:hanging="376"/>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iCs/>
                <w:sz w:val="24"/>
                <w:szCs w:val="24"/>
                <w:lang w:val="ru-RU" w:eastAsia="ru-RU"/>
              </w:rPr>
              <w:t>Бархударов Л. С.</w:t>
            </w:r>
            <w:r>
              <w:rPr>
                <w:rFonts w:ascii="Times New Roman" w:hAnsi="Times New Roman" w:eastAsia="Times New Roman" w:cs="Times New Roman"/>
                <w:i/>
                <w:iCs/>
                <w:sz w:val="24"/>
                <w:szCs w:val="24"/>
                <w:lang w:val="ru-RU" w:eastAsia="ru-RU"/>
              </w:rPr>
              <w:t xml:space="preserve"> </w:t>
            </w:r>
            <w:r>
              <w:rPr>
                <w:rFonts w:ascii="Times New Roman" w:hAnsi="Times New Roman" w:eastAsia="Times New Roman" w:cs="Times New Roman"/>
                <w:sz w:val="24"/>
                <w:szCs w:val="24"/>
                <w:lang w:val="ru-RU" w:eastAsia="ru-RU"/>
              </w:rPr>
              <w:t xml:space="preserve">Язык и перевод (Вопросы общей и частной теории перевода). — М. «Международные отношения», 1975. Глава 2. Языковые значения и перевод. </w:t>
            </w:r>
            <w:r>
              <w:rPr>
                <w:rFonts w:ascii="Times New Roman" w:hAnsi="Times New Roman" w:eastAsia="Times New Roman" w:cs="Times New Roman"/>
                <w:bCs/>
                <w:sz w:val="24"/>
                <w:szCs w:val="24"/>
                <w:lang w:eastAsia="ru-RU"/>
              </w:rPr>
              <w:t>Доступний з: &lt;</w:t>
            </w:r>
            <w:r>
              <w:fldChar w:fldCharType="begin"/>
            </w:r>
            <w:r>
              <w:instrText xml:space="preserve"> HYPERLINK "http://www.classes.ru/grammar/125.Barhudarov-yazik-i-perevod/html/1_6.html" </w:instrText>
            </w:r>
            <w:r>
              <w:fldChar w:fldCharType="separate"/>
            </w:r>
            <w:r>
              <w:rPr>
                <w:rFonts w:ascii="Times New Roman" w:hAnsi="Times New Roman" w:eastAsia="Times New Roman" w:cs="Times New Roman"/>
                <w:color w:val="0000FF"/>
                <w:sz w:val="24"/>
                <w:szCs w:val="24"/>
                <w:u w:val="single"/>
                <w:lang w:val="ru-RU" w:eastAsia="ru-RU"/>
              </w:rPr>
              <w:t>http://www.classes.ru/grammar/125.Barhudarov-yazik-i-perevod/html/1_6.html</w:t>
            </w:r>
            <w:r>
              <w:rPr>
                <w:rFonts w:ascii="Times New Roman" w:hAnsi="Times New Roman" w:eastAsia="Times New Roman" w:cs="Times New Roman"/>
                <w:color w:val="0000FF"/>
                <w:sz w:val="24"/>
                <w:szCs w:val="24"/>
                <w:u w:val="single"/>
                <w:lang w:val="ru-RU" w:eastAsia="ru-RU"/>
              </w:rPr>
              <w:fldChar w:fldCharType="end"/>
            </w:r>
            <w:r>
              <w:rPr>
                <w:rFonts w:ascii="Times New Roman" w:hAnsi="Times New Roman" w:eastAsia="Times New Roman" w:cs="Times New Roman"/>
                <w:bCs/>
                <w:sz w:val="24"/>
                <w:szCs w:val="24"/>
                <w:lang w:eastAsia="ru-RU"/>
              </w:rPr>
              <w:t>&gt;</w:t>
            </w:r>
          </w:p>
          <w:p>
            <w:pPr>
              <w:pStyle w:val="18"/>
              <w:widowControl w:val="0"/>
              <w:numPr>
                <w:ilvl w:val="3"/>
                <w:numId w:val="1"/>
              </w:numPr>
              <w:spacing w:after="0" w:line="240" w:lineRule="auto"/>
              <w:ind w:left="376" w:hanging="376"/>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bCs/>
                <w:iCs/>
                <w:sz w:val="24"/>
                <w:szCs w:val="24"/>
                <w:lang w:val="ru-RU" w:eastAsia="ru-RU"/>
              </w:rPr>
              <w:t>В.В. Демецька</w:t>
            </w:r>
            <w:r>
              <w:rPr>
                <w:rFonts w:ascii="Times New Roman" w:hAnsi="Times New Roman" w:eastAsia="Times New Roman" w:cs="Times New Roman"/>
                <w:bCs/>
                <w:iCs/>
                <w:sz w:val="24"/>
                <w:szCs w:val="24"/>
                <w:lang w:eastAsia="ru-RU"/>
              </w:rPr>
              <w:t xml:space="preserve">. </w:t>
            </w:r>
            <w:r>
              <w:rPr>
                <w:rFonts w:ascii="Times New Roman" w:hAnsi="Times New Roman" w:eastAsia="Times New Roman" w:cs="Times New Roman"/>
                <w:bCs/>
                <w:sz w:val="24"/>
                <w:szCs w:val="24"/>
                <w:lang w:eastAsia="ru-RU"/>
              </w:rPr>
              <w:t xml:space="preserve">Адаптація як поняття перекладознавства й культурології. – Доступний з: </w:t>
            </w:r>
            <w:r>
              <w:fldChar w:fldCharType="begin"/>
            </w:r>
            <w:r>
              <w:instrText xml:space="preserve"> HYPERLINK "http://visnyk.sumdu.edu.ua/arhiv/2007/1%28102_2%29/19_Demetska.pdf" </w:instrText>
            </w:r>
            <w:r>
              <w:fldChar w:fldCharType="separate"/>
            </w:r>
            <w:r>
              <w:rPr>
                <w:rStyle w:val="13"/>
                <w:rFonts w:ascii="Times New Roman" w:hAnsi="Times New Roman" w:eastAsia="Times New Roman" w:cs="Times New Roman"/>
                <w:bCs/>
                <w:sz w:val="24"/>
                <w:szCs w:val="24"/>
                <w:lang w:eastAsia="ru-RU"/>
              </w:rPr>
              <w:t>http://visnyk.sumdu.edu.ua/arhiv/2007/1%28102_2%29/19_Demetska.pdf</w:t>
            </w:r>
            <w:r>
              <w:rPr>
                <w:rStyle w:val="13"/>
                <w:rFonts w:ascii="Times New Roman" w:hAnsi="Times New Roman" w:eastAsia="Times New Roman" w:cs="Times New Roman"/>
                <w:bCs/>
                <w:sz w:val="24"/>
                <w:szCs w:val="24"/>
                <w:lang w:eastAsia="ru-RU"/>
              </w:rPr>
              <w:fldChar w:fldCharType="end"/>
            </w:r>
          </w:p>
          <w:p>
            <w:pPr>
              <w:pStyle w:val="18"/>
              <w:widowControl w:val="0"/>
              <w:numPr>
                <w:ilvl w:val="3"/>
                <w:numId w:val="1"/>
              </w:numPr>
              <w:spacing w:after="0" w:line="240" w:lineRule="auto"/>
              <w:ind w:left="376" w:hanging="376"/>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Донецкая О. Соотношение понятий «межкультурная компетенция» и переводческая компетенция». Доступний з: </w:t>
            </w:r>
            <w:r>
              <w:fldChar w:fldCharType="begin"/>
            </w:r>
            <w:r>
              <w:instrText xml:space="preserve"> HYPERLINK "http://www.russisches-haus.de/artikelansicht.php?aid=25&amp;lang=ru" </w:instrText>
            </w:r>
            <w:r>
              <w:fldChar w:fldCharType="separate"/>
            </w:r>
            <w:r>
              <w:rPr>
                <w:rStyle w:val="13"/>
                <w:rFonts w:ascii="Times New Roman" w:hAnsi="Times New Roman" w:eastAsia="Times New Roman" w:cs="Times New Roman"/>
                <w:sz w:val="24"/>
                <w:szCs w:val="24"/>
                <w:lang w:val="ru-RU" w:eastAsia="ru-RU"/>
              </w:rPr>
              <w:t>http://www.russisches-haus.de/artikelansicht.php?aid=25&amp;lang=ru</w:t>
            </w:r>
            <w:r>
              <w:rPr>
                <w:rStyle w:val="13"/>
                <w:rFonts w:ascii="Times New Roman" w:hAnsi="Times New Roman" w:eastAsia="Times New Roman" w:cs="Times New Roman"/>
                <w:sz w:val="24"/>
                <w:szCs w:val="24"/>
                <w:lang w:val="ru-RU" w:eastAsia="ru-RU"/>
              </w:rPr>
              <w:fldChar w:fldCharType="end"/>
            </w:r>
          </w:p>
          <w:p>
            <w:pPr>
              <w:pStyle w:val="18"/>
              <w:widowControl w:val="0"/>
              <w:numPr>
                <w:ilvl w:val="3"/>
                <w:numId w:val="1"/>
              </w:numPr>
              <w:spacing w:after="0" w:line="240" w:lineRule="auto"/>
              <w:ind w:left="376" w:hanging="376"/>
              <w:jc w:val="both"/>
              <w:rPr>
                <w:rFonts w:ascii="Times New Roman" w:hAnsi="Times New Roman" w:eastAsia="Times New Roman" w:cs="Times New Roman"/>
                <w:sz w:val="24"/>
                <w:szCs w:val="24"/>
                <w:lang w:val="ru-RU" w:eastAsia="ru-RU"/>
              </w:rPr>
            </w:pPr>
            <w:r>
              <w:rPr>
                <w:rFonts w:ascii="Times New Roman" w:hAnsi="Times New Roman" w:cs="Times New Roman"/>
                <w:color w:val="000000"/>
                <w:sz w:val="24"/>
                <w:szCs w:val="24"/>
              </w:rPr>
              <w:t xml:space="preserve">Кардашова Н. Лінгвокультурні, соціокультурні та міжкультурні проблеми перекладу. Доступний з: </w:t>
            </w:r>
            <w:r>
              <w:fldChar w:fldCharType="begin"/>
            </w:r>
            <w:r>
              <w:instrText xml:space="preserve"> HYPERLINK "http://www.nbuv.gov.ua/PORTAL/soc_gum/Nz/89_1/statti/41.pdf" </w:instrText>
            </w:r>
            <w:r>
              <w:fldChar w:fldCharType="separate"/>
            </w:r>
            <w:r>
              <w:rPr>
                <w:rStyle w:val="13"/>
                <w:rFonts w:ascii="Times New Roman" w:hAnsi="Times New Roman" w:cs="Times New Roman"/>
                <w:sz w:val="24"/>
                <w:szCs w:val="24"/>
              </w:rPr>
              <w:t>http://www.nbuv.gov.ua/PORTAL/soc_gum/Nz/89_1/statti/41.pdf</w:t>
            </w:r>
            <w:r>
              <w:rPr>
                <w:rStyle w:val="13"/>
                <w:rFonts w:ascii="Times New Roman" w:hAnsi="Times New Roman" w:cs="Times New Roman"/>
                <w:sz w:val="24"/>
                <w:szCs w:val="24"/>
              </w:rPr>
              <w:fldChar w:fldCharType="end"/>
            </w:r>
          </w:p>
          <w:p>
            <w:pPr>
              <w:pStyle w:val="18"/>
              <w:widowControl w:val="0"/>
              <w:numPr>
                <w:ilvl w:val="3"/>
                <w:numId w:val="1"/>
              </w:numPr>
              <w:spacing w:after="0" w:line="240" w:lineRule="auto"/>
              <w:ind w:left="376" w:hanging="376"/>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Комиссаров В. Н. Современное переводоведение. Доступний з: </w:t>
            </w:r>
            <w:r>
              <w:fldChar w:fldCharType="begin"/>
            </w:r>
            <w:r>
              <w:instrText xml:space="preserve"> HYPERLINK "http://www.classes.ru/grammar/_109.Komissarov_Sovremennoe_perevodovedenie/html/7-.html" </w:instrText>
            </w:r>
            <w:r>
              <w:fldChar w:fldCharType="separate"/>
            </w:r>
            <w:r>
              <w:rPr>
                <w:rStyle w:val="13"/>
                <w:rFonts w:ascii="Times New Roman" w:hAnsi="Times New Roman" w:eastAsia="Times New Roman" w:cs="Times New Roman"/>
                <w:sz w:val="24"/>
                <w:szCs w:val="24"/>
                <w:lang w:val="ru-RU" w:eastAsia="ru-RU"/>
              </w:rPr>
              <w:t>http://www.classes.ru/grammar/_109.Komissarov_Sovremennoe_perevodovedenie/html/7-.html</w:t>
            </w:r>
            <w:r>
              <w:rPr>
                <w:rStyle w:val="13"/>
                <w:rFonts w:ascii="Times New Roman" w:hAnsi="Times New Roman" w:eastAsia="Times New Roman" w:cs="Times New Roman"/>
                <w:sz w:val="24"/>
                <w:szCs w:val="24"/>
                <w:lang w:val="ru-RU" w:eastAsia="ru-RU"/>
              </w:rPr>
              <w:fldChar w:fldCharType="end"/>
            </w:r>
            <w:r>
              <w:rPr>
                <w:rFonts w:ascii="Times New Roman" w:hAnsi="Times New Roman" w:cs="Times New Roman"/>
                <w:sz w:val="24"/>
                <w:szCs w:val="24"/>
              </w:rPr>
              <w:t xml:space="preserve"> </w:t>
            </w:r>
          </w:p>
          <w:p>
            <w:pPr>
              <w:pStyle w:val="18"/>
              <w:widowControl w:val="0"/>
              <w:numPr>
                <w:ilvl w:val="3"/>
                <w:numId w:val="1"/>
              </w:numPr>
              <w:spacing w:after="0" w:line="240" w:lineRule="auto"/>
              <w:ind w:left="376" w:hanging="376"/>
              <w:jc w:val="both"/>
              <w:rPr>
                <w:rFonts w:ascii="Times New Roman" w:hAnsi="Times New Roman" w:eastAsia="Times New Roman" w:cs="Times New Roman"/>
                <w:sz w:val="24"/>
                <w:szCs w:val="24"/>
                <w:lang w:val="ru-RU" w:eastAsia="ru-RU"/>
              </w:rPr>
            </w:pPr>
            <w:r>
              <w:rPr>
                <w:rFonts w:ascii="Times New Roman" w:hAnsi="Times New Roman" w:cs="Times New Roman"/>
                <w:sz w:val="24"/>
                <w:szCs w:val="24"/>
              </w:rPr>
              <w:t xml:space="preserve">Самойленко С. А. Безеквіваленьні терміни та їх переклад // Филологические науки/6. Актуальные проблемы перевода. Дніпропетровський університет економіки та права. Доступний з: </w:t>
            </w:r>
            <w:r>
              <w:fldChar w:fldCharType="begin"/>
            </w:r>
            <w:r>
              <w:instrText xml:space="preserve"> HYPERLINK "http://www.rusnauka.com/30_NIEK_2009/Philologia/54179.doc.htm" </w:instrText>
            </w:r>
            <w:r>
              <w:fldChar w:fldCharType="separate"/>
            </w:r>
            <w:r>
              <w:rPr>
                <w:rStyle w:val="13"/>
                <w:rFonts w:ascii="Times New Roman" w:hAnsi="Times New Roman" w:cs="Times New Roman"/>
                <w:sz w:val="24"/>
                <w:szCs w:val="24"/>
              </w:rPr>
              <w:t>http://www.rusnauka.com/30_NIEK_2009/Philologia/54179.doc.htm</w:t>
            </w:r>
            <w:r>
              <w:rPr>
                <w:rStyle w:val="13"/>
                <w:rFonts w:ascii="Times New Roman" w:hAnsi="Times New Roman" w:cs="Times New Roman"/>
                <w:sz w:val="24"/>
                <w:szCs w:val="24"/>
              </w:rPr>
              <w:fldChar w:fldCharType="end"/>
            </w:r>
          </w:p>
          <w:p>
            <w:pPr>
              <w:pStyle w:val="18"/>
              <w:widowControl w:val="0"/>
              <w:numPr>
                <w:ilvl w:val="3"/>
                <w:numId w:val="1"/>
              </w:numPr>
              <w:spacing w:after="0" w:line="240" w:lineRule="auto"/>
              <w:ind w:left="376" w:hanging="376"/>
              <w:jc w:val="both"/>
              <w:rPr>
                <w:rFonts w:ascii="Times New Roman" w:hAnsi="Times New Roman" w:eastAsia="Times New Roman" w:cs="Times New Roman"/>
                <w:sz w:val="24"/>
                <w:szCs w:val="24"/>
                <w:lang w:val="ru-RU" w:eastAsia="ru-RU"/>
              </w:rPr>
            </w:pPr>
            <w:r>
              <w:rPr>
                <w:rFonts w:ascii="Times New Roman" w:hAnsi="Times New Roman" w:cs="Times New Roman"/>
                <w:sz w:val="24"/>
                <w:szCs w:val="24"/>
              </w:rPr>
              <w:t xml:space="preserve">Kupsch-Losereit S. Die kulturelle Kompetenz des Translators. Доступний з: </w:t>
            </w:r>
            <w:r>
              <w:fldChar w:fldCharType="begin"/>
            </w:r>
            <w:r>
              <w:instrText xml:space="preserve"> HYPERLINK "http://www.fask.uni-mainz.de/user/kupsch/kulturkompetenz.html" </w:instrText>
            </w:r>
            <w:r>
              <w:fldChar w:fldCharType="separate"/>
            </w:r>
            <w:r>
              <w:rPr>
                <w:rStyle w:val="13"/>
                <w:rFonts w:ascii="Times New Roman" w:hAnsi="Times New Roman" w:cs="Times New Roman"/>
                <w:sz w:val="24"/>
                <w:szCs w:val="24"/>
              </w:rPr>
              <w:t>http://www.fask.uni-mainz.de/user/kupsch/kulturkompetenz.html</w:t>
            </w:r>
            <w:r>
              <w:rPr>
                <w:rStyle w:val="13"/>
                <w:rFonts w:ascii="Times New Roman" w:hAnsi="Times New Roman" w:cs="Times New Roman"/>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57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Три семестри (6-8), 150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57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кількість годин – 150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 години аудиторних занять, з них 42 годин лекцій, 42 годин практичних занять. 66 годин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572"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знати</w:t>
            </w:r>
            <w:r>
              <w:rPr>
                <w:rFonts w:ascii="Times New Roman" w:hAnsi="Times New Roman" w:cs="Times New Roman"/>
                <w:sz w:val="24"/>
              </w:rPr>
              <w:t>:</w:t>
            </w:r>
          </w:p>
          <w:p>
            <w:pPr>
              <w:numPr>
                <w:ilvl w:val="0"/>
                <w:numId w:val="2"/>
              </w:numPr>
              <w:tabs>
                <w:tab w:val="left" w:pos="284"/>
                <w:tab w:val="left" w:pos="591"/>
              </w:tabs>
              <w:spacing w:after="0" w:line="240" w:lineRule="auto"/>
              <w:ind w:left="313"/>
              <w:jc w:val="both"/>
              <w:rPr>
                <w:rFonts w:ascii="Times New Roman" w:hAnsi="Times New Roman" w:cs="Times New Roman"/>
                <w:sz w:val="24"/>
              </w:rPr>
            </w:pPr>
            <w:r>
              <w:rPr>
                <w:rFonts w:ascii="Times New Roman" w:hAnsi="Times New Roman" w:cs="Times New Roman"/>
                <w:sz w:val="24"/>
              </w:rPr>
              <w:t>предмет та базові поняття перекладознавства, принципи, методи та прийоми здійснення перекладу;</w:t>
            </w:r>
          </w:p>
          <w:p>
            <w:pPr>
              <w:numPr>
                <w:ilvl w:val="0"/>
                <w:numId w:val="2"/>
              </w:numPr>
              <w:tabs>
                <w:tab w:val="left" w:pos="284"/>
                <w:tab w:val="left" w:pos="591"/>
              </w:tabs>
              <w:spacing w:after="0" w:line="240" w:lineRule="auto"/>
              <w:ind w:left="313"/>
              <w:jc w:val="both"/>
              <w:rPr>
                <w:rFonts w:ascii="Times New Roman" w:hAnsi="Times New Roman" w:cs="Times New Roman"/>
                <w:sz w:val="24"/>
              </w:rPr>
            </w:pPr>
            <w:r>
              <w:rPr>
                <w:rFonts w:ascii="Times New Roman" w:hAnsi="Times New Roman" w:cs="Times New Roman"/>
                <w:sz w:val="24"/>
              </w:rPr>
              <w:t>головні моделі перекладу,</w:t>
            </w:r>
            <w:r>
              <w:t xml:space="preserve"> </w:t>
            </w:r>
            <w:r>
              <w:rPr>
                <w:rFonts w:ascii="Times New Roman" w:hAnsi="Times New Roman" w:cs="Times New Roman"/>
                <w:sz w:val="24"/>
              </w:rPr>
              <w:t>типи еквівалентності та перекладацькі трансформації, шляхи досягнення перекладацької еквівалентності;</w:t>
            </w:r>
          </w:p>
          <w:p>
            <w:pPr>
              <w:numPr>
                <w:ilvl w:val="0"/>
                <w:numId w:val="2"/>
              </w:numPr>
              <w:tabs>
                <w:tab w:val="left" w:pos="284"/>
                <w:tab w:val="left" w:pos="591"/>
              </w:tabs>
              <w:spacing w:after="0" w:line="240" w:lineRule="auto"/>
              <w:ind w:left="313"/>
              <w:jc w:val="both"/>
              <w:rPr>
                <w:rFonts w:ascii="Times New Roman" w:hAnsi="Times New Roman" w:cs="Times New Roman"/>
                <w:sz w:val="24"/>
              </w:rPr>
            </w:pPr>
            <w:r>
              <w:rPr>
                <w:rFonts w:ascii="Times New Roman" w:hAnsi="Times New Roman" w:cs="Times New Roman"/>
                <w:sz w:val="24"/>
              </w:rPr>
              <w:t>прагматичні і</w:t>
            </w:r>
            <w:r>
              <w:t xml:space="preserve"> </w:t>
            </w:r>
            <w:r>
              <w:rPr>
                <w:rFonts w:ascii="Times New Roman" w:hAnsi="Times New Roman" w:cs="Times New Roman"/>
                <w:sz w:val="24"/>
              </w:rPr>
              <w:t>стилістичні аспекти перекладу; лексичні та граматичні проблеми перекладу;</w:t>
            </w:r>
          </w:p>
          <w:p>
            <w:pPr>
              <w:numPr>
                <w:ilvl w:val="0"/>
                <w:numId w:val="2"/>
              </w:numPr>
              <w:tabs>
                <w:tab w:val="left" w:pos="284"/>
                <w:tab w:val="left" w:pos="591"/>
              </w:tabs>
              <w:spacing w:after="0" w:line="240" w:lineRule="auto"/>
              <w:ind w:left="313"/>
              <w:jc w:val="both"/>
              <w:rPr>
                <w:rFonts w:ascii="Times New Roman" w:hAnsi="Times New Roman" w:cs="Times New Roman"/>
                <w:sz w:val="24"/>
              </w:rPr>
            </w:pPr>
            <w:r>
              <w:rPr>
                <w:rFonts w:ascii="Times New Roman" w:hAnsi="Times New Roman" w:cs="Times New Roman"/>
                <w:color w:val="000000"/>
                <w:sz w:val="24"/>
                <w:szCs w:val="24"/>
              </w:rPr>
              <w:t>теоретичні положення щодо жанрової специфіки текстів для їх застосування у практиці перекладу</w:t>
            </w:r>
            <w:r>
              <w:rPr>
                <w:rFonts w:ascii="Times New Roman" w:hAnsi="Times New Roman" w:cs="Times New Roman"/>
                <w:sz w:val="24"/>
              </w:rPr>
              <w:t>;</w:t>
            </w:r>
          </w:p>
          <w:p>
            <w:pPr>
              <w:numPr>
                <w:ilvl w:val="0"/>
                <w:numId w:val="2"/>
              </w:numPr>
              <w:tabs>
                <w:tab w:val="left" w:pos="284"/>
                <w:tab w:val="left" w:pos="591"/>
              </w:tabs>
              <w:spacing w:after="0" w:line="240" w:lineRule="auto"/>
              <w:ind w:left="313"/>
              <w:jc w:val="both"/>
              <w:rPr>
                <w:rFonts w:ascii="Times New Roman" w:hAnsi="Times New Roman" w:cs="Times New Roman"/>
                <w:sz w:val="24"/>
              </w:rPr>
            </w:pPr>
            <w:r>
              <w:rPr>
                <w:rFonts w:ascii="Times New Roman" w:hAnsi="Times New Roman" w:cs="Times New Roman"/>
                <w:sz w:val="24"/>
              </w:rPr>
              <w:t>види усного перекладу і його функції з огляду на специфіку комунікативної ситуації, когнітивні аспекти усного перекладу;</w:t>
            </w:r>
          </w:p>
          <w:p>
            <w:pPr>
              <w:numPr>
                <w:ilvl w:val="0"/>
                <w:numId w:val="2"/>
              </w:numPr>
              <w:tabs>
                <w:tab w:val="left" w:pos="284"/>
                <w:tab w:val="left" w:pos="591"/>
              </w:tabs>
              <w:spacing w:after="0" w:line="240" w:lineRule="auto"/>
              <w:ind w:left="313"/>
              <w:jc w:val="both"/>
              <w:rPr>
                <w:rFonts w:ascii="Times New Roman" w:hAnsi="Times New Roman" w:cs="Times New Roman"/>
                <w:sz w:val="24"/>
              </w:rPr>
            </w:pPr>
            <w:r>
              <w:rPr>
                <w:rFonts w:ascii="Times New Roman" w:hAnsi="Times New Roman" w:cs="Times New Roman"/>
                <w:sz w:val="24"/>
                <w:lang w:val="ru-RU"/>
              </w:rPr>
              <w:t>базові поняття сучасних теорій перекладу;</w:t>
            </w:r>
          </w:p>
          <w:p>
            <w:pPr>
              <w:numPr>
                <w:ilvl w:val="0"/>
                <w:numId w:val="2"/>
              </w:numPr>
              <w:spacing w:after="0" w:line="240" w:lineRule="auto"/>
              <w:ind w:left="313"/>
              <w:jc w:val="both"/>
              <w:rPr>
                <w:rFonts w:ascii="Times New Roman" w:hAnsi="Times New Roman" w:cs="Times New Roman"/>
                <w:sz w:val="24"/>
                <w:szCs w:val="24"/>
              </w:rPr>
            </w:pPr>
            <w:r>
              <w:rPr>
                <w:rFonts w:ascii="Times New Roman" w:hAnsi="Times New Roman" w:eastAsia="Calibri" w:cs="Times New Roman"/>
                <w:sz w:val="24"/>
                <w:szCs w:val="24"/>
              </w:rPr>
              <w:t xml:space="preserve">головні наукові концепції, які пояснюють природу та сутність перекладу як міжкультурної комунікації; </w:t>
            </w:r>
            <w:r>
              <w:rPr>
                <w:rFonts w:ascii="Times New Roman" w:hAnsi="Times New Roman" w:cs="Times New Roman"/>
                <w:sz w:val="24"/>
                <w:szCs w:val="24"/>
              </w:rPr>
              <w:t>культурно-антропологічні засади міжкультурної комунікації;</w:t>
            </w:r>
          </w:p>
          <w:p>
            <w:pPr>
              <w:numPr>
                <w:ilvl w:val="0"/>
                <w:numId w:val="2"/>
              </w:numPr>
              <w:spacing w:after="0" w:line="240" w:lineRule="auto"/>
              <w:ind w:left="313"/>
              <w:jc w:val="both"/>
              <w:rPr>
                <w:sz w:val="24"/>
                <w:szCs w:val="24"/>
              </w:rPr>
            </w:pPr>
            <w:r>
              <w:rPr>
                <w:rFonts w:ascii="Times New Roman" w:hAnsi="Times New Roman" w:eastAsia="Times New Roman" w:cs="Times New Roman"/>
                <w:sz w:val="24"/>
                <w:szCs w:val="24"/>
              </w:rPr>
              <w:t>головні наукові і теоретичні школи перекладознавства, знати їхніх видатних представників;</w:t>
            </w:r>
          </w:p>
          <w:p>
            <w:pPr>
              <w:numPr>
                <w:ilvl w:val="0"/>
                <w:numId w:val="2"/>
              </w:numPr>
              <w:tabs>
                <w:tab w:val="left" w:pos="284"/>
                <w:tab w:val="left" w:pos="591"/>
              </w:tabs>
              <w:spacing w:after="0" w:line="240" w:lineRule="auto"/>
              <w:ind w:left="313"/>
              <w:jc w:val="both"/>
              <w:rPr>
                <w:rFonts w:ascii="Times New Roman" w:hAnsi="Times New Roman" w:cs="Times New Roman"/>
                <w:sz w:val="24"/>
              </w:rPr>
            </w:pPr>
            <w:r>
              <w:rPr>
                <w:rFonts w:ascii="Times New Roman" w:hAnsi="Times New Roman" w:cs="Times New Roman"/>
                <w:sz w:val="24"/>
              </w:rPr>
              <w:t>шляхи формування культурної компетенції перекладача.</w:t>
            </w:r>
          </w:p>
          <w:p>
            <w:pPr>
              <w:tabs>
                <w:tab w:val="left" w:pos="284"/>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вміти</w:t>
            </w:r>
            <w:r>
              <w:rPr>
                <w:rFonts w:ascii="Times New Roman" w:hAnsi="Times New Roman" w:cs="Times New Roman"/>
                <w:sz w:val="24"/>
              </w:rPr>
              <w:t xml:space="preserve">: </w:t>
            </w:r>
          </w:p>
          <w:p>
            <w:pPr>
              <w:numPr>
                <w:ilvl w:val="0"/>
                <w:numId w:val="3"/>
              </w:numPr>
              <w:tabs>
                <w:tab w:val="left" w:pos="284"/>
                <w:tab w:val="left" w:pos="313"/>
              </w:tabs>
              <w:spacing w:after="0" w:line="240" w:lineRule="auto"/>
              <w:ind w:left="235" w:hanging="235"/>
              <w:jc w:val="both"/>
              <w:rPr>
                <w:rFonts w:ascii="Times New Roman" w:hAnsi="Times New Roman" w:cs="Times New Roman"/>
                <w:sz w:val="24"/>
              </w:rPr>
            </w:pPr>
            <w:r>
              <w:rPr>
                <w:rFonts w:ascii="Times New Roman" w:hAnsi="Times New Roman" w:eastAsia="Calibri" w:cs="Times New Roman"/>
                <w:color w:val="000000"/>
                <w:sz w:val="24"/>
                <w:szCs w:val="24"/>
              </w:rPr>
              <w:t>давати характеристику головним науковим і теоретичним школам перекладознавства,</w:t>
            </w:r>
            <w:r>
              <w:rPr>
                <w:rFonts w:ascii="Times New Roman" w:hAnsi="Times New Roman" w:cs="Times New Roman"/>
                <w:sz w:val="24"/>
              </w:rPr>
              <w:t xml:space="preserve"> розуміти головні терміни, процеси та закономірності сучасних теорій перекладу; </w:t>
            </w:r>
          </w:p>
          <w:p>
            <w:pPr>
              <w:numPr>
                <w:ilvl w:val="0"/>
                <w:numId w:val="3"/>
              </w:numPr>
              <w:tabs>
                <w:tab w:val="left" w:pos="284"/>
                <w:tab w:val="left" w:pos="313"/>
              </w:tabs>
              <w:spacing w:after="0" w:line="240" w:lineRule="auto"/>
              <w:ind w:left="235" w:hanging="235"/>
              <w:jc w:val="both"/>
              <w:rPr>
                <w:rFonts w:ascii="Times New Roman" w:hAnsi="Times New Roman" w:cs="Times New Roman"/>
                <w:sz w:val="24"/>
              </w:rPr>
            </w:pPr>
            <w:r>
              <w:rPr>
                <w:rFonts w:ascii="Times New Roman" w:hAnsi="Times New Roman" w:cs="Times New Roman"/>
                <w:sz w:val="24"/>
              </w:rPr>
              <w:t xml:space="preserve">розрізняти на практиці види і типи перекладу, функціональні типи тексту з притаманними їм особливостями будови та мовного оформлення; </w:t>
            </w:r>
          </w:p>
          <w:p>
            <w:pPr>
              <w:numPr>
                <w:ilvl w:val="0"/>
                <w:numId w:val="3"/>
              </w:numPr>
              <w:tabs>
                <w:tab w:val="left" w:pos="284"/>
                <w:tab w:val="left" w:pos="313"/>
              </w:tabs>
              <w:spacing w:after="0" w:line="240" w:lineRule="auto"/>
              <w:ind w:left="235" w:hanging="235"/>
              <w:jc w:val="both"/>
              <w:rPr>
                <w:rFonts w:ascii="Times New Roman" w:hAnsi="Times New Roman" w:cs="Times New Roman"/>
                <w:sz w:val="24"/>
                <w:szCs w:val="24"/>
              </w:rPr>
            </w:pPr>
            <w:r>
              <w:rPr>
                <w:rFonts w:ascii="Times New Roman" w:hAnsi="Times New Roman" w:cs="Times New Roman"/>
                <w:sz w:val="24"/>
                <w:szCs w:val="24"/>
              </w:rPr>
              <w:t xml:space="preserve"> застосовувати перекладацькі трансформації під час аналізу процесу перекладу та його результатів; </w:t>
            </w:r>
          </w:p>
          <w:p>
            <w:pPr>
              <w:numPr>
                <w:ilvl w:val="0"/>
                <w:numId w:val="3"/>
              </w:numPr>
              <w:tabs>
                <w:tab w:val="left" w:pos="284"/>
                <w:tab w:val="left" w:pos="313"/>
              </w:tabs>
              <w:spacing w:after="0" w:line="240" w:lineRule="auto"/>
              <w:ind w:left="235" w:hanging="235"/>
              <w:jc w:val="both"/>
              <w:rPr>
                <w:rFonts w:ascii="Times New Roman" w:hAnsi="Times New Roman" w:cs="Times New Roman"/>
                <w:sz w:val="24"/>
              </w:rPr>
            </w:pPr>
            <w:r>
              <w:rPr>
                <w:rFonts w:ascii="Times New Roman" w:hAnsi="Times New Roman" w:cs="Times New Roman"/>
                <w:sz w:val="24"/>
              </w:rPr>
              <w:t xml:space="preserve">володіти методологічними принципами виконання перекладу різножанрових текстів та стилістичних засобів; </w:t>
            </w:r>
          </w:p>
          <w:p>
            <w:pPr>
              <w:numPr>
                <w:ilvl w:val="0"/>
                <w:numId w:val="3"/>
              </w:numPr>
              <w:tabs>
                <w:tab w:val="left" w:pos="284"/>
                <w:tab w:val="left" w:pos="313"/>
              </w:tabs>
              <w:spacing w:after="0" w:line="240" w:lineRule="auto"/>
              <w:ind w:left="235" w:hanging="235"/>
              <w:jc w:val="both"/>
              <w:rPr>
                <w:rFonts w:ascii="Times New Roman" w:hAnsi="Times New Roman" w:cs="Times New Roman"/>
                <w:sz w:val="24"/>
              </w:rPr>
            </w:pPr>
            <w:r>
              <w:rPr>
                <w:rFonts w:ascii="Times New Roman" w:hAnsi="Times New Roman" w:eastAsia="Calibri" w:cs="Times New Roman"/>
                <w:sz w:val="24"/>
                <w:szCs w:val="24"/>
              </w:rPr>
              <w:t xml:space="preserve">визначати та обирати головні перекладацькі стратегії та тактики для побудови граматично коректного, змістовно та стилістично адекватного повідомлення або тексту; </w:t>
            </w:r>
          </w:p>
          <w:p>
            <w:pPr>
              <w:numPr>
                <w:ilvl w:val="0"/>
                <w:numId w:val="3"/>
              </w:numPr>
              <w:tabs>
                <w:tab w:val="left" w:pos="284"/>
                <w:tab w:val="left" w:pos="313"/>
              </w:tabs>
              <w:spacing w:after="0" w:line="240" w:lineRule="auto"/>
              <w:ind w:left="235" w:hanging="235"/>
              <w:jc w:val="both"/>
              <w:rPr>
                <w:rFonts w:ascii="Times New Roman" w:hAnsi="Times New Roman" w:cs="Times New Roman"/>
                <w:sz w:val="24"/>
              </w:rPr>
            </w:pPr>
            <w:r>
              <w:rPr>
                <w:rFonts w:ascii="Times New Roman" w:hAnsi="Times New Roman" w:eastAsia="Calibri" w:cs="Times New Roman"/>
                <w:sz w:val="24"/>
                <w:szCs w:val="24"/>
              </w:rPr>
              <w:t xml:space="preserve">застосувати в усному та письмовому мовленні оптимальні способи відтворення комунікативних стратегій у перекладі </w:t>
            </w:r>
            <w:r>
              <w:rPr>
                <w:rFonts w:ascii="Times New Roman" w:hAnsi="Times New Roman" w:cs="Times New Roman"/>
                <w:sz w:val="24"/>
              </w:rPr>
              <w:t>з урахуванням специфіки комунікативної ситуації та когнітивних аспектів усного перекладу;</w:t>
            </w:r>
          </w:p>
          <w:p>
            <w:pPr>
              <w:numPr>
                <w:ilvl w:val="0"/>
                <w:numId w:val="3"/>
              </w:numPr>
              <w:tabs>
                <w:tab w:val="left" w:pos="284"/>
                <w:tab w:val="left" w:pos="313"/>
              </w:tabs>
              <w:spacing w:after="0" w:line="240" w:lineRule="auto"/>
              <w:ind w:left="235" w:hanging="235"/>
              <w:jc w:val="both"/>
              <w:rPr>
                <w:rFonts w:ascii="Times New Roman" w:hAnsi="Times New Roman" w:cs="Times New Roman"/>
                <w:sz w:val="24"/>
                <w:szCs w:val="24"/>
              </w:rPr>
            </w:pPr>
            <w:r>
              <w:rPr>
                <w:rFonts w:ascii="Times New Roman" w:hAnsi="Times New Roman" w:cs="Times New Roman"/>
                <w:sz w:val="24"/>
                <w:szCs w:val="24"/>
              </w:rPr>
              <w:t xml:space="preserve">визначати комунікативно-прагматичні параметри тексту і відповідно до них стратегію перекладу; </w:t>
            </w:r>
          </w:p>
          <w:p>
            <w:pPr>
              <w:numPr>
                <w:ilvl w:val="0"/>
                <w:numId w:val="3"/>
              </w:numPr>
              <w:tabs>
                <w:tab w:val="left" w:pos="284"/>
                <w:tab w:val="left" w:pos="313"/>
              </w:tabs>
              <w:spacing w:after="0" w:line="240" w:lineRule="auto"/>
              <w:ind w:left="235" w:hanging="235"/>
              <w:jc w:val="both"/>
              <w:rPr>
                <w:rFonts w:ascii="Times New Roman" w:hAnsi="Times New Roman" w:cs="Times New Roman"/>
                <w:sz w:val="24"/>
              </w:rPr>
            </w:pPr>
            <w:r>
              <w:rPr>
                <w:rFonts w:ascii="Times New Roman" w:hAnsi="Times New Roman" w:cs="Times New Roman"/>
                <w:sz w:val="24"/>
              </w:rPr>
              <w:t xml:space="preserve">розуміти сутність різних підходів і моделей перекладу, перекладу як міжкультурного трансферу та діяльності експерта; </w:t>
            </w:r>
          </w:p>
          <w:p>
            <w:pPr>
              <w:numPr>
                <w:ilvl w:val="0"/>
                <w:numId w:val="3"/>
              </w:numPr>
              <w:tabs>
                <w:tab w:val="left" w:pos="284"/>
                <w:tab w:val="left" w:pos="313"/>
              </w:tabs>
              <w:spacing w:after="0" w:line="240" w:lineRule="auto"/>
              <w:ind w:left="235" w:hanging="235"/>
              <w:jc w:val="both"/>
              <w:rPr>
                <w:rFonts w:ascii="Times New Roman" w:hAnsi="Times New Roman" w:cs="Times New Roman"/>
                <w:sz w:val="24"/>
              </w:rPr>
            </w:pPr>
            <w:r>
              <w:rPr>
                <w:rFonts w:ascii="Times New Roman" w:hAnsi="Times New Roman" w:cs="Times New Roman"/>
                <w:sz w:val="24"/>
              </w:rPr>
              <w:t>визначати культурно-антропологічні засади перекладу як міжкультурної комунікації.</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Перекладознавство, теорія перекладу, еквівалентність, неперекладність, міжмовний та міжкультурний трансфер,</w:t>
            </w:r>
            <w:r>
              <w:t xml:space="preserve"> </w:t>
            </w:r>
            <w:r>
              <w:rPr>
                <w:rFonts w:ascii="Times New Roman" w:hAnsi="Times New Roman" w:cs="Times New Roman"/>
                <w:sz w:val="24"/>
                <w:szCs w:val="24"/>
              </w:rPr>
              <w:t>види перекладу,</w:t>
            </w:r>
            <w:r>
              <w:t xml:space="preserve"> </w:t>
            </w:r>
            <w:r>
              <w:rPr>
                <w:rFonts w:ascii="Times New Roman" w:hAnsi="Times New Roman" w:cs="Times New Roman"/>
                <w:sz w:val="24"/>
                <w:szCs w:val="24"/>
              </w:rPr>
              <w:t>стратегії перекладу,</w:t>
            </w:r>
            <w:r>
              <w:t xml:space="preserve"> </w:t>
            </w:r>
            <w:r>
              <w:rPr>
                <w:rFonts w:ascii="Times New Roman" w:hAnsi="Times New Roman" w:cs="Times New Roman"/>
                <w:sz w:val="24"/>
                <w:szCs w:val="24"/>
              </w:rPr>
              <w:t>перекладацькі трансформації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Навчально-методичне забезпечення</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лекцій,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Іспит в кінці 6 і 7 семестрів</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Іспит проводиться у формі співбесіди з екзаменатором. Підсумковий контроль за весь курс навчання проводиться у формі державного іспиту, зміст і форму проведення якого визначає кафедра.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вивчення курсу студенти потребують базових знань з таких дисциплін: «Вступ до спеціальності», «Лексикологія» та «Лінгвокраїнознавство країн першої іноземної мови» та знання нормативної граматики, стилістики.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наступні: розповідь, пояснення, бесіда, лекція, демонстрація, спостереження, практичне заняття, індивідуальні завдання, інтерактивні методи (презентація, евристичні бесіди, дискусії, «мозковий штурм», конкурси з практичними завданнями та їх подальше обговорення, використання мультимедійних комп’ютерних програм).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проектор і інтерактивна дошка.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w:t>
            </w:r>
            <w:r>
              <w:t xml:space="preserve"> </w:t>
            </w:r>
            <w:r>
              <w:rPr>
                <w:rFonts w:ascii="Times New Roman" w:hAnsi="Times New Roman" w:cs="Times New Roman"/>
                <w:sz w:val="24"/>
                <w:szCs w:val="24"/>
              </w:rPr>
              <w:t xml:space="preserve">результати поточного модульного контролю та іспит у формі  співбесіди з екзаменатором.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наступним співвідношенням: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Підсумковий модуль у формі  співбесіди з екзаменатором (макс.50 балів) + результати поточного модульного контролю (макс.50 балів) = 100 балів)</w:t>
            </w:r>
          </w:p>
          <w:p>
            <w:pPr>
              <w:tabs>
                <w:tab w:val="left" w:pos="284"/>
                <w:tab w:val="left" w:pos="567"/>
              </w:tabs>
              <w:spacing w:after="0" w:line="240" w:lineRule="auto"/>
              <w:jc w:val="both"/>
              <w:rPr>
                <w:rFonts w:ascii="Times New Roman" w:hAnsi="Times New Roman" w:cs="Times New Roman"/>
                <w:sz w:val="24"/>
                <w:szCs w:val="24"/>
              </w:rPr>
            </w:pPr>
          </w:p>
          <w:tbl>
            <w:tblPr>
              <w:tblStyle w:val="14"/>
              <w:tblW w:w="7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497"/>
              <w:gridCol w:w="250"/>
              <w:gridCol w:w="248"/>
              <w:gridCol w:w="501"/>
              <w:gridCol w:w="854"/>
              <w:gridCol w:w="498"/>
              <w:gridCol w:w="250"/>
              <w:gridCol w:w="249"/>
              <w:gridCol w:w="500"/>
              <w:gridCol w:w="856"/>
              <w:gridCol w:w="518"/>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4"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jc w:val="right"/>
                    <w:rPr>
                      <w:rFonts w:ascii="Times New Roman" w:hAnsi="Times New Roman" w:cs="Times New Roman"/>
                      <w:b/>
                      <w:sz w:val="16"/>
                      <w:szCs w:val="16"/>
                    </w:rPr>
                  </w:pPr>
                  <w:r>
                    <w:rPr>
                      <w:rFonts w:ascii="Times New Roman" w:hAnsi="Times New Roman" w:cs="Times New Roman"/>
                      <w:b/>
                      <w:smallCaps/>
                      <w:sz w:val="16"/>
                      <w:szCs w:val="16"/>
                    </w:rPr>
                    <w:t>Модулі</w:t>
                  </w:r>
                </w:p>
              </w:tc>
              <w:tc>
                <w:tcPr>
                  <w:tcW w:w="2350"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Модуль І</w:t>
                  </w:r>
                </w:p>
              </w:tc>
              <w:tc>
                <w:tcPr>
                  <w:tcW w:w="2352"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Модуль ІІ</w:t>
                  </w:r>
                </w:p>
              </w:tc>
              <w:tc>
                <w:tcPr>
                  <w:tcW w:w="518" w:type="dxa"/>
                  <w:vMerge w:val="restart"/>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Підсумковий контроль (іспит)</w:t>
                  </w:r>
                </w:p>
              </w:tc>
              <w:tc>
                <w:tcPr>
                  <w:tcW w:w="518" w:type="dxa"/>
                  <w:vMerge w:val="restart"/>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Сума</w:t>
                  </w: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7"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Кількість балів за модуль</w:t>
                  </w:r>
                </w:p>
              </w:tc>
              <w:tc>
                <w:tcPr>
                  <w:tcW w:w="2350"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25</w:t>
                  </w:r>
                </w:p>
              </w:tc>
              <w:tc>
                <w:tcPr>
                  <w:tcW w:w="2352"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25</w:t>
                  </w: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4"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Змістові модулі</w:t>
                  </w:r>
                </w:p>
              </w:tc>
              <w:tc>
                <w:tcPr>
                  <w:tcW w:w="747"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1</w:t>
                  </w:r>
                </w:p>
              </w:tc>
              <w:tc>
                <w:tcPr>
                  <w:tcW w:w="748"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ЗМ2</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sz w:val="16"/>
                      <w:szCs w:val="16"/>
                    </w:rPr>
                  </w:pPr>
                  <w:r>
                    <w:rPr>
                      <w:rFonts w:ascii="Times New Roman" w:hAnsi="Times New Roman" w:cs="Times New Roman"/>
                      <w:sz w:val="16"/>
                      <w:szCs w:val="16"/>
                    </w:rPr>
                    <w:t>Модульний контроль 1</w:t>
                  </w:r>
                </w:p>
              </w:tc>
              <w:tc>
                <w:tcPr>
                  <w:tcW w:w="748"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3</w:t>
                  </w:r>
                </w:p>
              </w:tc>
              <w:tc>
                <w:tcPr>
                  <w:tcW w:w="749"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4</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sz w:val="16"/>
                      <w:szCs w:val="16"/>
                    </w:rPr>
                  </w:pPr>
                  <w:r>
                    <w:rPr>
                      <w:rFonts w:ascii="Times New Roman" w:hAnsi="Times New Roman" w:cs="Times New Roman"/>
                      <w:sz w:val="16"/>
                      <w:szCs w:val="16"/>
                    </w:rPr>
                    <w:t>Модульний контроль 2</w:t>
                  </w: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5" w:hRule="atLeast"/>
              </w:trPr>
              <w:tc>
                <w:tcPr>
                  <w:tcW w:w="1683"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Кількість балів за змістові модулі та модульний контроль</w:t>
                  </w:r>
                </w:p>
              </w:tc>
              <w:tc>
                <w:tcPr>
                  <w:tcW w:w="1496"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15</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149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15</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rPr>
              <w:tc>
                <w:tcPr>
                  <w:tcW w:w="1683"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b/>
                      <w:sz w:val="16"/>
                      <w:szCs w:val="16"/>
                    </w:rPr>
                  </w:pPr>
                </w:p>
              </w:tc>
              <w:tc>
                <w:tcPr>
                  <w:tcW w:w="1496" w:type="dxa"/>
                  <w:gridSpan w:val="4"/>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1497" w:type="dxa"/>
                  <w:gridSpan w:val="4"/>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51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50</w:t>
                  </w:r>
                </w:p>
              </w:tc>
              <w:tc>
                <w:tcPr>
                  <w:tcW w:w="51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4" w:hRule="atLeast"/>
              </w:trPr>
              <w:tc>
                <w:tcPr>
                  <w:tcW w:w="1683"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 xml:space="preserve">Розподіл балів </w:t>
                  </w:r>
                </w:p>
              </w:tc>
              <w:tc>
                <w:tcPr>
                  <w:tcW w:w="497"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Аудиторна робота</w:t>
                  </w:r>
                </w:p>
              </w:tc>
              <w:tc>
                <w:tcPr>
                  <w:tcW w:w="498" w:type="dxa"/>
                  <w:gridSpan w:val="2"/>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Відвідування</w:t>
                  </w:r>
                </w:p>
              </w:tc>
              <w:tc>
                <w:tcPr>
                  <w:tcW w:w="499"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Самостійна робота</w:t>
                  </w:r>
                </w:p>
              </w:tc>
              <w:tc>
                <w:tcPr>
                  <w:tcW w:w="854"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p>
              </w:tc>
              <w:tc>
                <w:tcPr>
                  <w:tcW w:w="498"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Аудиторна робота</w:t>
                  </w:r>
                </w:p>
              </w:tc>
              <w:tc>
                <w:tcPr>
                  <w:tcW w:w="499" w:type="dxa"/>
                  <w:gridSpan w:val="2"/>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Відвідування</w:t>
                  </w:r>
                </w:p>
              </w:tc>
              <w:tc>
                <w:tcPr>
                  <w:tcW w:w="499" w:type="dxa"/>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Самостійна робота</w:t>
                  </w:r>
                </w:p>
              </w:tc>
              <w:tc>
                <w:tcPr>
                  <w:tcW w:w="854"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8" w:hRule="atLeast"/>
              </w:trPr>
              <w:tc>
                <w:tcPr>
                  <w:tcW w:w="1683"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b/>
                      <w:sz w:val="16"/>
                      <w:szCs w:val="16"/>
                    </w:rPr>
                  </w:pPr>
                </w:p>
              </w:tc>
              <w:tc>
                <w:tcPr>
                  <w:tcW w:w="497"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8"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49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3" w:hRule="atLeast"/>
              </w:trPr>
              <w:tc>
                <w:tcPr>
                  <w:tcW w:w="1683" w:type="dxa"/>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Наукова робота</w:t>
                  </w:r>
                </w:p>
              </w:tc>
              <w:tc>
                <w:tcPr>
                  <w:tcW w:w="4703" w:type="dxa"/>
                  <w:gridSpan w:val="10"/>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Участь у студентських наукових конференціях, семінарах, круглих столах, олімпіадах та конкурсах</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1 - 10</w:t>
                  </w:r>
                </w:p>
              </w:tc>
            </w:tr>
          </w:tbl>
          <w:p>
            <w:pPr>
              <w:tabs>
                <w:tab w:val="left" w:pos="284"/>
                <w:tab w:val="left" w:pos="567"/>
              </w:tabs>
              <w:spacing w:after="0" w:line="240" w:lineRule="auto"/>
              <w:jc w:val="both"/>
              <w:rPr>
                <w:rFonts w:ascii="Times New Roman" w:hAnsi="Times New Roman" w:cs="Times New Roman"/>
                <w:sz w:val="24"/>
                <w:szCs w:val="24"/>
              </w:rPr>
            </w:pPr>
          </w:p>
          <w:p>
            <w:pPr>
              <w:pStyle w:val="7"/>
              <w:jc w:val="center"/>
              <w:rPr>
                <w:b/>
                <w:bCs/>
                <w:sz w:val="24"/>
                <w:lang w:val="uk-UA"/>
              </w:rPr>
            </w:pPr>
            <w:r>
              <w:rPr>
                <w:b/>
                <w:bCs/>
                <w:sz w:val="24"/>
                <w:lang w:val="uk-UA"/>
              </w:rPr>
              <w:t>Шкала оцінювання модульної контрольної роботи</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
                      <w:bCs/>
                      <w:sz w:val="24"/>
                      <w:lang w:val="uk-UA"/>
                    </w:rPr>
                  </w:pPr>
                  <w:r>
                    <w:rPr>
                      <w:b/>
                      <w:bCs/>
                      <w:sz w:val="24"/>
                      <w:lang w:val="uk-UA"/>
                    </w:rPr>
                    <w:t>Кількість балів</w:t>
                  </w:r>
                </w:p>
              </w:tc>
              <w:tc>
                <w:tcPr>
                  <w:tcW w:w="4261" w:type="dxa"/>
                </w:tcPr>
                <w:p>
                  <w:pPr>
                    <w:pStyle w:val="7"/>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10</w:t>
                  </w:r>
                </w:p>
              </w:tc>
              <w:tc>
                <w:tcPr>
                  <w:tcW w:w="4261" w:type="dxa"/>
                </w:tcPr>
                <w:p>
                  <w:pPr>
                    <w:pStyle w:val="7"/>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9</w:t>
                  </w:r>
                </w:p>
              </w:tc>
              <w:tc>
                <w:tcPr>
                  <w:tcW w:w="4261" w:type="dxa"/>
                </w:tcPr>
                <w:p>
                  <w:pPr>
                    <w:pStyle w:val="7"/>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8</w:t>
                  </w:r>
                </w:p>
              </w:tc>
              <w:tc>
                <w:tcPr>
                  <w:tcW w:w="4261" w:type="dxa"/>
                </w:tcPr>
                <w:p>
                  <w:pPr>
                    <w:pStyle w:val="7"/>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7</w:t>
                  </w:r>
                </w:p>
              </w:tc>
              <w:tc>
                <w:tcPr>
                  <w:tcW w:w="4261" w:type="dxa"/>
                </w:tcPr>
                <w:p>
                  <w:pPr>
                    <w:pStyle w:val="7"/>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6</w:t>
                  </w:r>
                </w:p>
              </w:tc>
              <w:tc>
                <w:tcPr>
                  <w:tcW w:w="4261" w:type="dxa"/>
                </w:tcPr>
                <w:p>
                  <w:pPr>
                    <w:pStyle w:val="7"/>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5</w:t>
                  </w:r>
                </w:p>
              </w:tc>
              <w:tc>
                <w:tcPr>
                  <w:tcW w:w="4261" w:type="dxa"/>
                </w:tcPr>
                <w:p>
                  <w:pPr>
                    <w:pStyle w:val="7"/>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4</w:t>
                  </w:r>
                </w:p>
              </w:tc>
              <w:tc>
                <w:tcPr>
                  <w:tcW w:w="4261" w:type="dxa"/>
                </w:tcPr>
                <w:p>
                  <w:pPr>
                    <w:pStyle w:val="7"/>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3</w:t>
                  </w:r>
                </w:p>
              </w:tc>
              <w:tc>
                <w:tcPr>
                  <w:tcW w:w="4261" w:type="dxa"/>
                </w:tcPr>
                <w:p>
                  <w:pPr>
                    <w:pStyle w:val="7"/>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2</w:t>
                  </w:r>
                </w:p>
              </w:tc>
              <w:tc>
                <w:tcPr>
                  <w:tcW w:w="4261" w:type="dxa"/>
                </w:tcPr>
                <w:p>
                  <w:pPr>
                    <w:pStyle w:val="7"/>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1</w:t>
                  </w:r>
                </w:p>
              </w:tc>
              <w:tc>
                <w:tcPr>
                  <w:tcW w:w="4261" w:type="dxa"/>
                </w:tcPr>
                <w:p>
                  <w:pPr>
                    <w:pStyle w:val="7"/>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0</w:t>
                  </w:r>
                </w:p>
              </w:tc>
              <w:tc>
                <w:tcPr>
                  <w:tcW w:w="4261" w:type="dxa"/>
                </w:tcPr>
                <w:p>
                  <w:pPr>
                    <w:pStyle w:val="7"/>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«Теорія перекладу». Зміст СРС з дисципліни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підготовка до контрольних робіт.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надає викладач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572" w:type="dxa"/>
          </w:tcPr>
          <w:p>
            <w:pPr>
              <w:tabs>
                <w:tab w:val="left" w:pos="284"/>
                <w:tab w:val="left" w:pos="567"/>
              </w:tabs>
              <w:spacing w:after="0" w:line="240" w:lineRule="auto"/>
              <w:jc w:val="center"/>
              <w:rPr>
                <w:rFonts w:ascii="Times New Roman" w:hAnsi="Times New Roman" w:eastAsia="TimesNewRoman" w:cs="Times New Roman"/>
                <w:b/>
                <w:sz w:val="24"/>
                <w:lang w:eastAsia="uk-UA"/>
              </w:rPr>
            </w:pPr>
            <w:r>
              <w:rPr>
                <w:rFonts w:ascii="Times New Roman" w:hAnsi="Times New Roman" w:eastAsia="TimesNewRoman" w:cs="Times New Roman"/>
                <w:b/>
                <w:sz w:val="24"/>
                <w:lang w:eastAsia="uk-UA"/>
              </w:rPr>
              <w:t>6 семестр</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 xml:space="preserve">Translationswissenschaft als eigenständige Disziplin. Gegenstand und Aufgaben. </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Hauptbereiche der Übersetzungswissenschaft.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Grundbegriffe der Translationswissenschaft.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Übersetzbarkeit unter sprachlichen Aspekten. Das sprachliche Zeichen als Einheit mit vier charakteristischen Parametern.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Linguistisch orientierte traditionelle, Handlungs- und kulturorientierte Translationstheorie über die Übersetzbarkeit.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6.</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Übersetzbarkeit unter textuellen Aspekten.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7.</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 xml:space="preserve">Äquivalenz, Adäquatheit und Invarianz. </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8.</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 xml:space="preserve">Äquivalenzarten nach Koller. </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9.</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 xml:space="preserve">Zum Begriff der Interferenz. </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10.</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Klassifizierung von Übersetzungsverfahren. Gründe der Verwendung von Übersetzungsverfahren.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 xml:space="preserve">Grammatische Übersetzungsverfahren (nach U. Kautz). </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Semantische Übersetzungsverfahren (nach U. Kautz) mit der Veränderung der propositionalen, stilistischen und/oder Sprechaktbedeutung.</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 xml:space="preserve">Realien als Träger nationalen und/oder historischen Kolorits. </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Übersetzungsverfahren von Realien.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Eigennamen. Transliteration und Transkription von Eigennamen.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16.</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Archaismen, Neologismen und Internationalismen.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17.</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Phraseologismen. Die Wiedergabe von semantisch-stilistischen Funktionen der Phraseologismen in der ZS.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18.</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 xml:space="preserve">Die Übersetzung von „falschen Freunden“ des Übersetzers. </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19.</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Abkürzungen.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20.</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Grammatikalische Aspekte der Übersetzung. Die Bedeutungen des Artikels bei der Übersetzung.</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Kategorie des Genus der Substantive bei der Übersetzung.</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Komposita und Ableitungen bei der Übersetzung.</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Kategorie des Genus, der Zeit und des Modus der Verben bei der Übersetzung.</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Partizipien bei der Übersetzung.</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Partizipialfügungen bei der Übersetzung.</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26.</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Übersetzung von Sprachvarietäten: Dialekt und Soziolekt.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27.</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Übersetzung von Metaphern.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28.</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Wortspiele als Übersetzungsproblem.</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29.</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Übersetzung von Maßeinheiten.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30.</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Übersetzung von Buchtiteln.</w:t>
            </w:r>
          </w:p>
          <w:p>
            <w:pPr>
              <w:tabs>
                <w:tab w:val="left" w:pos="284"/>
                <w:tab w:val="left" w:pos="567"/>
              </w:tabs>
              <w:spacing w:after="0" w:line="240" w:lineRule="auto"/>
              <w:jc w:val="center"/>
              <w:rPr>
                <w:rFonts w:ascii="Times New Roman" w:hAnsi="Times New Roman" w:eastAsia="TimesNewRoman" w:cs="Times New Roman"/>
                <w:b/>
                <w:sz w:val="24"/>
                <w:lang w:eastAsia="uk-UA"/>
              </w:rPr>
            </w:pPr>
            <w:r>
              <w:rPr>
                <w:rFonts w:ascii="Times New Roman" w:hAnsi="Times New Roman" w:eastAsia="TimesNewRoman" w:cs="Times New Roman"/>
                <w:b/>
                <w:sz w:val="24"/>
                <w:lang w:eastAsia="uk-UA"/>
              </w:rPr>
              <w:t>7 семестр</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Übersetzung der Geschäftskorrespondenz.</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Übersetzung von Anleitungen, Benutzerhinweisen, Gebrauchsanweisungen.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Fachzeitschriftenartikeln.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Lehrbüchern.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Konferenztexten.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6.</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Patentschriften.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7.</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Gerichtsurteilen.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8.</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Vertragstexten.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9.</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Urkundenübersetzung.</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10.</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Texten von Presseagenturen und informativen Zeitungstexten.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Werbetexten.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der Erzählprosa und Massenliteratur.</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der Kinderliteratur.</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Bühnentexten fürs Sprechtheater.</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 von Bühnentexten fürs Musiktheater.</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16.</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Untertitelung. Übertitelung.</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17.</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Synchronisation von Filmen.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18.</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 xml:space="preserve">Einheit von Sprache und Denken (Humboldt) </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19.</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Verfremdendes Übersetzen (Schleiermacher)</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20.</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Sprachinhaltsforschung (Weisgerber)</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Das linguistische Relativitätsprinzip (Sapir/Whorf-Hypothese)</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Formbetontes Übersetzen (Benjamin)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 xml:space="preserve">Übersetzungstheorien mit dem Blick auf die Sprachsysteme: Dekonstruktion und Übersetzbarkeit (Derrida). </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Sprache als Kommunikationsinstrument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Zeichentheorien und Funktionen der Sprache</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26.</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Der Zeicheninhalt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27.</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Generative Transformationsgrammatik (Chomsky)</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28.</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Universalienforschung</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29.</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Strukturelle Semantik</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30.</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absolute Übersetzbarkeit (Koschmieder)</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Das kommunikationstheoretische Modell des Übersetzungsvorgangs (Kade, Neubert).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potentiellen Entsprechungen zwischen AS und ZS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Translation shifts (Catford).</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 xml:space="preserve">Translation quality assessment (House). </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Übersetzen als Transferprozess (Wills)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36.</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Schemabasierung des Transfers als Fertigkeit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37.</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Stylistique coparée (Vinay/Darbelnet, Malblanc).</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38.</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Übersetzungsprozeduren (Jumpelt)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39.</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 xml:space="preserve">Translation rules (Newmark). </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40.</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 xml:space="preserve">Fehleranalyse und Übersetzungsdidaktik </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41.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Ausgangspunkt Bibelübersetzung (Nida)</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42.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Übersetzungsmethode (Nida/Taber)</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43.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Philologische Genauigkeit (Schreiber)</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44.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Die normativen Äquivalenzforderungen (Koller)</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45.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Der Begriff „Äquivalenz"</w:t>
            </w:r>
          </w:p>
          <w:p>
            <w:pPr>
              <w:tabs>
                <w:tab w:val="left" w:pos="284"/>
                <w:tab w:val="left" w:pos="567"/>
              </w:tabs>
              <w:spacing w:after="0" w:line="240" w:lineRule="auto"/>
              <w:jc w:val="both"/>
              <w:rPr>
                <w:rFonts w:ascii="Times New Roman" w:hAnsi="Times New Roman" w:eastAsia="TimesNewRoman" w:cs="Times New Roman"/>
                <w:sz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57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rPr>
          <w:rFonts w:ascii="Times New Roman" w:hAnsi="Times New Roman" w:cs="Times New Roman"/>
          <w:b/>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Batang">
    <w:altName w:val="Apple SD Gothic Neo"/>
    <w:panose1 w:val="02030600000101010101"/>
    <w:charset w:val="81"/>
    <w:family w:val="auto"/>
    <w:pitch w:val="default"/>
    <w:sig w:usb0="00000000" w:usb1="00000000" w:usb2="00000010" w:usb3="00000000" w:csb0="00080000" w:csb1="00000000"/>
  </w:font>
  <w:font w:name="TimesNewRoman">
    <w:altName w:val="Hiragino Sans"/>
    <w:panose1 w:val="00000000000000000000"/>
    <w:charset w:val="80"/>
    <w:family w:val="auto"/>
    <w:pitch w:val="default"/>
    <w:sig w:usb0="00000000" w:usb1="00000000" w:usb2="00000010" w:usb3="00000000" w:csb0="0002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Apple SD Gothic Neo">
    <w:panose1 w:val="02000300000000000000"/>
    <w:charset w:val="81"/>
    <w:family w:val="auto"/>
    <w:pitch w:val="default"/>
    <w:sig w:usb0="00000203" w:usb1="21D12C10" w:usb2="00000010" w:usb3="00000000" w:csb0="00280005"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32A"/>
    <w:multiLevelType w:val="multilevel"/>
    <w:tmpl w:val="1885532A"/>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
    <w:nsid w:val="39566AB7"/>
    <w:multiLevelType w:val="multilevel"/>
    <w:tmpl w:val="39566AB7"/>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55D179CC"/>
    <w:multiLevelType w:val="multilevel"/>
    <w:tmpl w:val="55D179C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9"/>
    <w:rsid w:val="000142D5"/>
    <w:rsid w:val="0001550E"/>
    <w:rsid w:val="00022CAB"/>
    <w:rsid w:val="00030449"/>
    <w:rsid w:val="00033681"/>
    <w:rsid w:val="00035310"/>
    <w:rsid w:val="00042D4B"/>
    <w:rsid w:val="000474BE"/>
    <w:rsid w:val="00060228"/>
    <w:rsid w:val="000668B0"/>
    <w:rsid w:val="000838A5"/>
    <w:rsid w:val="00086DF1"/>
    <w:rsid w:val="00090C59"/>
    <w:rsid w:val="000963DC"/>
    <w:rsid w:val="000968BD"/>
    <w:rsid w:val="000C3454"/>
    <w:rsid w:val="000D69EC"/>
    <w:rsid w:val="000E5773"/>
    <w:rsid w:val="000E6ABA"/>
    <w:rsid w:val="000F089D"/>
    <w:rsid w:val="000F1E7C"/>
    <w:rsid w:val="000F5E7D"/>
    <w:rsid w:val="00110FFE"/>
    <w:rsid w:val="00112DF1"/>
    <w:rsid w:val="001220E5"/>
    <w:rsid w:val="0013312D"/>
    <w:rsid w:val="001337B3"/>
    <w:rsid w:val="00147CA5"/>
    <w:rsid w:val="001512F1"/>
    <w:rsid w:val="00152C6F"/>
    <w:rsid w:val="00154C3D"/>
    <w:rsid w:val="00155DBF"/>
    <w:rsid w:val="0016265A"/>
    <w:rsid w:val="001666C5"/>
    <w:rsid w:val="00170AD3"/>
    <w:rsid w:val="001823C7"/>
    <w:rsid w:val="001A3CC0"/>
    <w:rsid w:val="001B6EE6"/>
    <w:rsid w:val="001C2E13"/>
    <w:rsid w:val="001C4800"/>
    <w:rsid w:val="001E036B"/>
    <w:rsid w:val="0020008C"/>
    <w:rsid w:val="00200813"/>
    <w:rsid w:val="0023189C"/>
    <w:rsid w:val="00246A5B"/>
    <w:rsid w:val="00255CCF"/>
    <w:rsid w:val="002567B2"/>
    <w:rsid w:val="00276C65"/>
    <w:rsid w:val="00290695"/>
    <w:rsid w:val="00291490"/>
    <w:rsid w:val="0029693D"/>
    <w:rsid w:val="0029704F"/>
    <w:rsid w:val="002A33F8"/>
    <w:rsid w:val="002A5E14"/>
    <w:rsid w:val="002B5D05"/>
    <w:rsid w:val="002B5E45"/>
    <w:rsid w:val="002C1578"/>
    <w:rsid w:val="002C3E1A"/>
    <w:rsid w:val="002D6EAC"/>
    <w:rsid w:val="002E398D"/>
    <w:rsid w:val="002F3A04"/>
    <w:rsid w:val="0031763F"/>
    <w:rsid w:val="00324625"/>
    <w:rsid w:val="003520DA"/>
    <w:rsid w:val="00353240"/>
    <w:rsid w:val="003607B5"/>
    <w:rsid w:val="0037198D"/>
    <w:rsid w:val="0037413B"/>
    <w:rsid w:val="003758AD"/>
    <w:rsid w:val="00377564"/>
    <w:rsid w:val="00395881"/>
    <w:rsid w:val="00395883"/>
    <w:rsid w:val="003A1B35"/>
    <w:rsid w:val="003A6AE1"/>
    <w:rsid w:val="003B2BD1"/>
    <w:rsid w:val="003B701F"/>
    <w:rsid w:val="003C59C0"/>
    <w:rsid w:val="003E78EB"/>
    <w:rsid w:val="003F75A8"/>
    <w:rsid w:val="004113ED"/>
    <w:rsid w:val="00421927"/>
    <w:rsid w:val="004229F5"/>
    <w:rsid w:val="0045165C"/>
    <w:rsid w:val="004563A3"/>
    <w:rsid w:val="00462530"/>
    <w:rsid w:val="00464607"/>
    <w:rsid w:val="00474594"/>
    <w:rsid w:val="004752B7"/>
    <w:rsid w:val="00484403"/>
    <w:rsid w:val="00487750"/>
    <w:rsid w:val="004964B4"/>
    <w:rsid w:val="004A4A2C"/>
    <w:rsid w:val="004A4E9E"/>
    <w:rsid w:val="004C37DA"/>
    <w:rsid w:val="004C4CB7"/>
    <w:rsid w:val="004D224B"/>
    <w:rsid w:val="004D5660"/>
    <w:rsid w:val="004E1C09"/>
    <w:rsid w:val="004F446D"/>
    <w:rsid w:val="00530816"/>
    <w:rsid w:val="00531126"/>
    <w:rsid w:val="0053225B"/>
    <w:rsid w:val="00543A92"/>
    <w:rsid w:val="00544414"/>
    <w:rsid w:val="00545920"/>
    <w:rsid w:val="00571E70"/>
    <w:rsid w:val="005839FE"/>
    <w:rsid w:val="005871A6"/>
    <w:rsid w:val="005A7553"/>
    <w:rsid w:val="005A7AA5"/>
    <w:rsid w:val="005B3A52"/>
    <w:rsid w:val="005C6295"/>
    <w:rsid w:val="005D462F"/>
    <w:rsid w:val="005D5FCF"/>
    <w:rsid w:val="005E430C"/>
    <w:rsid w:val="005E53B6"/>
    <w:rsid w:val="005E5599"/>
    <w:rsid w:val="005F3825"/>
    <w:rsid w:val="005F606F"/>
    <w:rsid w:val="00622338"/>
    <w:rsid w:val="00622556"/>
    <w:rsid w:val="0063013B"/>
    <w:rsid w:val="00633166"/>
    <w:rsid w:val="006348E4"/>
    <w:rsid w:val="00661710"/>
    <w:rsid w:val="00675170"/>
    <w:rsid w:val="00676D09"/>
    <w:rsid w:val="00677F7C"/>
    <w:rsid w:val="00683C1D"/>
    <w:rsid w:val="006B39B6"/>
    <w:rsid w:val="006C5C0A"/>
    <w:rsid w:val="006D2B4B"/>
    <w:rsid w:val="006E0793"/>
    <w:rsid w:val="006E7259"/>
    <w:rsid w:val="006F2872"/>
    <w:rsid w:val="006F7E05"/>
    <w:rsid w:val="00712690"/>
    <w:rsid w:val="00722244"/>
    <w:rsid w:val="007233EF"/>
    <w:rsid w:val="00740E45"/>
    <w:rsid w:val="00743667"/>
    <w:rsid w:val="00745231"/>
    <w:rsid w:val="007454B6"/>
    <w:rsid w:val="007508DF"/>
    <w:rsid w:val="00753E89"/>
    <w:rsid w:val="00757015"/>
    <w:rsid w:val="00766C01"/>
    <w:rsid w:val="0078790E"/>
    <w:rsid w:val="00787BB8"/>
    <w:rsid w:val="007912E9"/>
    <w:rsid w:val="007944E8"/>
    <w:rsid w:val="007E2646"/>
    <w:rsid w:val="007E27A3"/>
    <w:rsid w:val="007E4DB1"/>
    <w:rsid w:val="007F2861"/>
    <w:rsid w:val="007F53EC"/>
    <w:rsid w:val="008005F5"/>
    <w:rsid w:val="008045BC"/>
    <w:rsid w:val="008049B8"/>
    <w:rsid w:val="008135AD"/>
    <w:rsid w:val="00846175"/>
    <w:rsid w:val="00856E0C"/>
    <w:rsid w:val="008620E5"/>
    <w:rsid w:val="00872736"/>
    <w:rsid w:val="008733B0"/>
    <w:rsid w:val="00873F85"/>
    <w:rsid w:val="008809E8"/>
    <w:rsid w:val="00886C22"/>
    <w:rsid w:val="008A52E3"/>
    <w:rsid w:val="008A6970"/>
    <w:rsid w:val="008B4374"/>
    <w:rsid w:val="008B7AB3"/>
    <w:rsid w:val="008C0C9B"/>
    <w:rsid w:val="008C3905"/>
    <w:rsid w:val="008C740E"/>
    <w:rsid w:val="008C7BFE"/>
    <w:rsid w:val="008D13E8"/>
    <w:rsid w:val="008D4E49"/>
    <w:rsid w:val="008D5CEE"/>
    <w:rsid w:val="008E1EA1"/>
    <w:rsid w:val="008E212B"/>
    <w:rsid w:val="008F1502"/>
    <w:rsid w:val="008F65D3"/>
    <w:rsid w:val="008F7638"/>
    <w:rsid w:val="008F7FC6"/>
    <w:rsid w:val="00906503"/>
    <w:rsid w:val="009071EA"/>
    <w:rsid w:val="00912931"/>
    <w:rsid w:val="00912D1B"/>
    <w:rsid w:val="00926690"/>
    <w:rsid w:val="00945524"/>
    <w:rsid w:val="00963DF3"/>
    <w:rsid w:val="00971A3D"/>
    <w:rsid w:val="00976026"/>
    <w:rsid w:val="009773A8"/>
    <w:rsid w:val="00985409"/>
    <w:rsid w:val="00986098"/>
    <w:rsid w:val="00995A90"/>
    <w:rsid w:val="009B6B2A"/>
    <w:rsid w:val="009C02DF"/>
    <w:rsid w:val="009F3413"/>
    <w:rsid w:val="009F747E"/>
    <w:rsid w:val="00A06637"/>
    <w:rsid w:val="00A11B5D"/>
    <w:rsid w:val="00A14F99"/>
    <w:rsid w:val="00A22147"/>
    <w:rsid w:val="00A36AEE"/>
    <w:rsid w:val="00A40F5A"/>
    <w:rsid w:val="00A571C8"/>
    <w:rsid w:val="00A65B9E"/>
    <w:rsid w:val="00A72D32"/>
    <w:rsid w:val="00AA27BC"/>
    <w:rsid w:val="00AA3454"/>
    <w:rsid w:val="00AA647C"/>
    <w:rsid w:val="00AB31FF"/>
    <w:rsid w:val="00AC5066"/>
    <w:rsid w:val="00AC64BF"/>
    <w:rsid w:val="00AD5B28"/>
    <w:rsid w:val="00AD6D50"/>
    <w:rsid w:val="00B02D5E"/>
    <w:rsid w:val="00B13D0F"/>
    <w:rsid w:val="00B16DDD"/>
    <w:rsid w:val="00B176C7"/>
    <w:rsid w:val="00B17A00"/>
    <w:rsid w:val="00B21F1D"/>
    <w:rsid w:val="00B423D0"/>
    <w:rsid w:val="00B46BC2"/>
    <w:rsid w:val="00B5602C"/>
    <w:rsid w:val="00B70E20"/>
    <w:rsid w:val="00B7661F"/>
    <w:rsid w:val="00B76F7A"/>
    <w:rsid w:val="00B82652"/>
    <w:rsid w:val="00B83657"/>
    <w:rsid w:val="00B900AD"/>
    <w:rsid w:val="00B96B32"/>
    <w:rsid w:val="00BA0648"/>
    <w:rsid w:val="00BA5AF6"/>
    <w:rsid w:val="00BC3238"/>
    <w:rsid w:val="00BD09E5"/>
    <w:rsid w:val="00BD58B9"/>
    <w:rsid w:val="00BE36CD"/>
    <w:rsid w:val="00BF0DCC"/>
    <w:rsid w:val="00BF379C"/>
    <w:rsid w:val="00C005A1"/>
    <w:rsid w:val="00C0310D"/>
    <w:rsid w:val="00C15F59"/>
    <w:rsid w:val="00C173A1"/>
    <w:rsid w:val="00C32AC1"/>
    <w:rsid w:val="00C4573D"/>
    <w:rsid w:val="00C46427"/>
    <w:rsid w:val="00C54FB1"/>
    <w:rsid w:val="00C60DCF"/>
    <w:rsid w:val="00C65C7B"/>
    <w:rsid w:val="00C65F69"/>
    <w:rsid w:val="00C75674"/>
    <w:rsid w:val="00C80F24"/>
    <w:rsid w:val="00C811BA"/>
    <w:rsid w:val="00C81BD4"/>
    <w:rsid w:val="00C85589"/>
    <w:rsid w:val="00C85CB8"/>
    <w:rsid w:val="00C95DBF"/>
    <w:rsid w:val="00CA0EED"/>
    <w:rsid w:val="00CA1B66"/>
    <w:rsid w:val="00CA43D1"/>
    <w:rsid w:val="00CD1CE9"/>
    <w:rsid w:val="00CE0A75"/>
    <w:rsid w:val="00CE0BC8"/>
    <w:rsid w:val="00CE1694"/>
    <w:rsid w:val="00CF0147"/>
    <w:rsid w:val="00CF38FE"/>
    <w:rsid w:val="00CF7B63"/>
    <w:rsid w:val="00D00C59"/>
    <w:rsid w:val="00D1431A"/>
    <w:rsid w:val="00D25775"/>
    <w:rsid w:val="00D4199B"/>
    <w:rsid w:val="00D42B62"/>
    <w:rsid w:val="00D44328"/>
    <w:rsid w:val="00D44F54"/>
    <w:rsid w:val="00D46615"/>
    <w:rsid w:val="00D46B73"/>
    <w:rsid w:val="00D53949"/>
    <w:rsid w:val="00D56BFF"/>
    <w:rsid w:val="00D577F8"/>
    <w:rsid w:val="00D61AB9"/>
    <w:rsid w:val="00D66059"/>
    <w:rsid w:val="00D7021F"/>
    <w:rsid w:val="00D72547"/>
    <w:rsid w:val="00D72CF1"/>
    <w:rsid w:val="00D7410C"/>
    <w:rsid w:val="00DA4300"/>
    <w:rsid w:val="00DB10D9"/>
    <w:rsid w:val="00DB11F0"/>
    <w:rsid w:val="00DC3EF4"/>
    <w:rsid w:val="00DD44B6"/>
    <w:rsid w:val="00DD49E4"/>
    <w:rsid w:val="00DD5365"/>
    <w:rsid w:val="00DD7623"/>
    <w:rsid w:val="00DE4E6F"/>
    <w:rsid w:val="00DF618D"/>
    <w:rsid w:val="00E0490E"/>
    <w:rsid w:val="00E05661"/>
    <w:rsid w:val="00E1636A"/>
    <w:rsid w:val="00E21327"/>
    <w:rsid w:val="00E22534"/>
    <w:rsid w:val="00E271CB"/>
    <w:rsid w:val="00E33C03"/>
    <w:rsid w:val="00E416D1"/>
    <w:rsid w:val="00E51E49"/>
    <w:rsid w:val="00E83BF1"/>
    <w:rsid w:val="00EA5BBB"/>
    <w:rsid w:val="00EC47B3"/>
    <w:rsid w:val="00ED0B47"/>
    <w:rsid w:val="00ED4A1E"/>
    <w:rsid w:val="00ED679D"/>
    <w:rsid w:val="00EE1595"/>
    <w:rsid w:val="00EE3967"/>
    <w:rsid w:val="00EF2C86"/>
    <w:rsid w:val="00EF37F4"/>
    <w:rsid w:val="00F0134F"/>
    <w:rsid w:val="00F20A92"/>
    <w:rsid w:val="00F231C6"/>
    <w:rsid w:val="00F23949"/>
    <w:rsid w:val="00F5323F"/>
    <w:rsid w:val="00F57A38"/>
    <w:rsid w:val="00F57AEF"/>
    <w:rsid w:val="00F622CF"/>
    <w:rsid w:val="00F66F80"/>
    <w:rsid w:val="00FA030D"/>
    <w:rsid w:val="00FA656E"/>
    <w:rsid w:val="00FB7920"/>
    <w:rsid w:val="00FC74B7"/>
    <w:rsid w:val="00FD2F64"/>
    <w:rsid w:val="00FD6660"/>
    <w:rsid w:val="00FD7C58"/>
    <w:rsid w:val="00FF0363"/>
    <w:rsid w:val="00FF58ED"/>
    <w:rsid w:val="00FF68F5"/>
    <w:rsid w:val="0E99ECD2"/>
    <w:rsid w:val="1E7DE699"/>
    <w:rsid w:val="24522644"/>
    <w:rsid w:val="272D0B45"/>
    <w:rsid w:val="2BF24E77"/>
    <w:rsid w:val="2DD4579F"/>
    <w:rsid w:val="3250C819"/>
    <w:rsid w:val="38DF79DE"/>
    <w:rsid w:val="3DC9904D"/>
    <w:rsid w:val="3F86E9CF"/>
    <w:rsid w:val="49FE906F"/>
    <w:rsid w:val="4EBF2439"/>
    <w:rsid w:val="657882E5"/>
    <w:rsid w:val="69EE3C5D"/>
    <w:rsid w:val="6D18164F"/>
    <w:rsid w:val="777CB491"/>
    <w:rsid w:val="78867785"/>
    <w:rsid w:val="7AC98DF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6"/>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9"/>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4">
    <w:name w:val="heading 5"/>
    <w:basedOn w:val="1"/>
    <w:next w:val="1"/>
    <w:link w:val="24"/>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5">
    <w:name w:val="heading 7"/>
    <w:basedOn w:val="1"/>
    <w:next w:val="1"/>
    <w:link w:val="20"/>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10">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6">
    <w:name w:val="Balloon Text"/>
    <w:basedOn w:val="1"/>
    <w:link w:val="22"/>
    <w:unhideWhenUsed/>
    <w:qFormat/>
    <w:uiPriority w:val="99"/>
    <w:pPr>
      <w:spacing w:after="0" w:line="240" w:lineRule="auto"/>
    </w:pPr>
    <w:rPr>
      <w:rFonts w:ascii="Tahoma" w:hAnsi="Tahoma" w:cs="Tahoma"/>
      <w:sz w:val="16"/>
      <w:szCs w:val="16"/>
    </w:rPr>
  </w:style>
  <w:style w:type="paragraph" w:styleId="7">
    <w:name w:val="Body Text"/>
    <w:basedOn w:val="1"/>
    <w:link w:val="21"/>
    <w:qFormat/>
    <w:uiPriority w:val="0"/>
    <w:pPr>
      <w:spacing w:after="120" w:line="240" w:lineRule="auto"/>
    </w:pPr>
    <w:rPr>
      <w:rFonts w:ascii="Times New Roman" w:hAnsi="Times New Roman" w:eastAsia="Times New Roman" w:cs="Times New Roman"/>
      <w:sz w:val="28"/>
      <w:szCs w:val="24"/>
      <w:lang w:val="ru-RU" w:eastAsia="ru-RU"/>
    </w:rPr>
  </w:style>
  <w:style w:type="paragraph" w:styleId="8">
    <w:name w:val="footer"/>
    <w:basedOn w:val="1"/>
    <w:link w:val="27"/>
    <w:unhideWhenUsed/>
    <w:qFormat/>
    <w:uiPriority w:val="99"/>
    <w:pPr>
      <w:tabs>
        <w:tab w:val="center" w:pos="4819"/>
        <w:tab w:val="right" w:pos="9639"/>
      </w:tabs>
      <w:spacing w:after="0" w:line="240" w:lineRule="auto"/>
    </w:pPr>
  </w:style>
  <w:style w:type="paragraph" w:styleId="9">
    <w:name w:val="header"/>
    <w:basedOn w:val="1"/>
    <w:link w:val="26"/>
    <w:unhideWhenUsed/>
    <w:qFormat/>
    <w:uiPriority w:val="99"/>
    <w:pPr>
      <w:tabs>
        <w:tab w:val="center" w:pos="4819"/>
        <w:tab w:val="right" w:pos="9639"/>
      </w:tabs>
      <w:spacing w:after="0" w:line="240" w:lineRule="auto"/>
    </w:pPr>
  </w:style>
  <w:style w:type="character" w:styleId="11">
    <w:name w:val="Emphasis"/>
    <w:qFormat/>
    <w:uiPriority w:val="20"/>
    <w:rPr>
      <w:i/>
      <w:iCs/>
    </w:rPr>
  </w:style>
  <w:style w:type="character" w:styleId="12">
    <w:name w:val="FollowedHyperlink"/>
    <w:basedOn w:val="10"/>
    <w:unhideWhenUsed/>
    <w:qFormat/>
    <w:uiPriority w:val="99"/>
    <w:rPr>
      <w:color w:val="800080" w:themeColor="followedHyperlink"/>
      <w:u w:val="single"/>
      <w14:textFill>
        <w14:solidFill>
          <w14:schemeClr w14:val="folHlink"/>
        </w14:solidFill>
      </w14:textFill>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Заголовок 1 Знак"/>
    <w:basedOn w:val="10"/>
    <w:link w:val="2"/>
    <w:qFormat/>
    <w:uiPriority w:val="0"/>
    <w:rPr>
      <w:rFonts w:ascii="Times New Roman" w:hAnsi="Times New Roman" w:eastAsia="Times New Roman" w:cs="Times New Roman"/>
      <w:sz w:val="32"/>
      <w:szCs w:val="24"/>
      <w:lang w:eastAsia="ru-RU"/>
    </w:rPr>
  </w:style>
  <w:style w:type="paragraph" w:customStyle="1" w:styleId="17">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8">
    <w:name w:val="List Paragraph"/>
    <w:basedOn w:val="1"/>
    <w:qFormat/>
    <w:uiPriority w:val="34"/>
    <w:pPr>
      <w:ind w:left="720"/>
      <w:contextualSpacing/>
    </w:pPr>
  </w:style>
  <w:style w:type="character" w:customStyle="1" w:styleId="19">
    <w:name w:val="Заголовок 4 Знак"/>
    <w:basedOn w:val="10"/>
    <w:link w:val="3"/>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0">
    <w:name w:val="Заголовок 7 Знак"/>
    <w:basedOn w:val="10"/>
    <w:link w:val="5"/>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1">
    <w:name w:val="Основной текст Знак"/>
    <w:basedOn w:val="10"/>
    <w:link w:val="7"/>
    <w:qFormat/>
    <w:uiPriority w:val="0"/>
    <w:rPr>
      <w:rFonts w:ascii="Times New Roman" w:hAnsi="Times New Roman" w:eastAsia="Times New Roman" w:cs="Times New Roman"/>
      <w:sz w:val="28"/>
      <w:szCs w:val="24"/>
      <w:lang w:val="ru-RU" w:eastAsia="ru-RU"/>
    </w:rPr>
  </w:style>
  <w:style w:type="character" w:customStyle="1" w:styleId="22">
    <w:name w:val="Текст выноски Знак"/>
    <w:basedOn w:val="10"/>
    <w:link w:val="6"/>
    <w:semiHidden/>
    <w:qFormat/>
    <w:uiPriority w:val="99"/>
    <w:rPr>
      <w:rFonts w:ascii="Tahoma" w:hAnsi="Tahoma" w:cs="Tahoma"/>
      <w:sz w:val="16"/>
      <w:szCs w:val="16"/>
    </w:rPr>
  </w:style>
  <w:style w:type="paragraph" w:customStyle="1" w:styleId="23">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24">
    <w:name w:val="Заголовок 5 Знак"/>
    <w:basedOn w:val="10"/>
    <w:link w:val="4"/>
    <w:qFormat/>
    <w:uiPriority w:val="0"/>
    <w:rPr>
      <w:rFonts w:asciiTheme="majorHAnsi" w:hAnsiTheme="majorHAnsi" w:eastAsiaTheme="majorEastAsia" w:cstheme="majorBidi"/>
      <w:color w:val="376092" w:themeColor="accent1" w:themeShade="BF"/>
    </w:rPr>
  </w:style>
  <w:style w:type="character" w:customStyle="1" w:styleId="25">
    <w:name w:val="st"/>
    <w:basedOn w:val="10"/>
    <w:qFormat/>
    <w:uiPriority w:val="0"/>
  </w:style>
  <w:style w:type="character" w:customStyle="1" w:styleId="26">
    <w:name w:val="Верхний колонтитул Знак"/>
    <w:basedOn w:val="10"/>
    <w:link w:val="9"/>
    <w:qFormat/>
    <w:uiPriority w:val="99"/>
  </w:style>
  <w:style w:type="character" w:customStyle="1" w:styleId="27">
    <w:name w:val="Нижний колонтитул Знак"/>
    <w:basedOn w:val="10"/>
    <w:link w:val="8"/>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5377</Words>
  <Characters>30649</Characters>
  <Lines>255</Lines>
  <Paragraphs>71</Paragraphs>
  <TotalTime>0</TotalTime>
  <ScaleCrop>false</ScaleCrop>
  <LinksUpToDate>false</LinksUpToDate>
  <CharactersWithSpaces>35955</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2020-01-26T21:15:00Z</dcterms:created>
  <dc:creator>Taras Pyts</dc:creator>
  <cp:lastModifiedBy>olgadenys</cp:lastModifiedBy>
  <cp:lastPrinted>2020-01-27T13:28:00Z</cp:lastPrinted>
  <dcterms:modified xsi:type="dcterms:W3CDTF">2021-02-18T17:55:17Z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