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lang w:val="ru-RU"/>
        </w:rPr>
        <w:t>ПЕРЕКЛАД МЕД</w:t>
      </w:r>
      <w:r>
        <w:rPr>
          <w:rFonts w:ascii="Times New Roman" w:hAnsi="Times New Roman" w:cs="Times New Roman"/>
          <w:b/>
          <w:sz w:val="28"/>
          <w:szCs w:val="28"/>
        </w:rPr>
        <w:t>ІЙНИХ ТЕКСТІВ</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Освітній ступінь магістр</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Спеціалізація  035.043 Германські мови та літератури (переклад включно), перша – німецька</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Освітня програма: </w:t>
      </w:r>
      <w:r>
        <w:rPr>
          <w:rStyle w:val="23"/>
          <w:rFonts w:ascii="Times New Roman" w:hAnsi="Times New Roman" w:cs="Times New Roman"/>
          <w:b/>
          <w:bCs/>
          <w:sz w:val="28"/>
          <w:szCs w:val="28"/>
        </w:rPr>
        <w:t>«Переклад двох іноземних мов та міжкультурні німецькі студії»</w:t>
      </w:r>
    </w:p>
    <w:p>
      <w:pPr>
        <w:ind w:left="2127" w:hanging="2127"/>
        <w:rPr>
          <w:rFonts w:ascii="Times New Roman" w:hAnsi="Times New Roman" w:cs="Times New Roman"/>
          <w:b/>
          <w:bCs/>
          <w:sz w:val="28"/>
          <w:szCs w:val="28"/>
        </w:rPr>
      </w:pPr>
    </w:p>
    <w:p>
      <w:pPr>
        <w:jc w:val="center"/>
        <w:rPr>
          <w:rFonts w:ascii="Times New Roman" w:hAnsi="Times New Roman" w:cs="Times New Roman"/>
          <w:b/>
          <w:bCs/>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«Переклад медійних текстів»</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Переклад медійних текстів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ВИКЛАДАЧІВ</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373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Мольдерф Оксана Євгенівна</w:t>
            </w:r>
          </w:p>
        </w:tc>
        <w:tc>
          <w:tcPr>
            <w:tcW w:w="373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Сулим Володимир Трохимович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373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c>
          <w:tcPr>
            <w:tcW w:w="37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373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c>
          <w:tcPr>
            <w:tcW w:w="37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373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37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професор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373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373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3739" w:type="dxa"/>
          </w:tcPr>
          <w:p>
            <w:pPr>
              <w:spacing w:after="0" w:line="240" w:lineRule="auto"/>
              <w:rPr>
                <w:rFonts w:ascii="Times New Roman" w:hAnsi="Times New Roman" w:cs="Times New Roman"/>
                <w:sz w:val="24"/>
                <w:szCs w:val="24"/>
              </w:rPr>
            </w:pPr>
            <w:r>
              <w:fldChar w:fldCharType="begin"/>
            </w:r>
            <w:r>
              <w:instrText xml:space="preserve"> HYPERLINK "mailto:oksana.molderf@lnu.edu.ua" </w:instrText>
            </w:r>
            <w:r>
              <w:fldChar w:fldCharType="separate"/>
            </w:r>
            <w:r>
              <w:rPr>
                <w:rStyle w:val="11"/>
                <w:rFonts w:ascii="Times New Roman" w:hAnsi="Times New Roman" w:cs="Times New Roman"/>
                <w:sz w:val="24"/>
                <w:szCs w:val="24"/>
                <w:lang w:val="en-US"/>
              </w:rPr>
              <w:t>oksana</w:t>
            </w:r>
            <w:r>
              <w:rPr>
                <w:rStyle w:val="11"/>
                <w:rFonts w:ascii="Times New Roman" w:hAnsi="Times New Roman" w:cs="Times New Roman"/>
                <w:sz w:val="24"/>
                <w:szCs w:val="24"/>
              </w:rPr>
              <w:t>.</w:t>
            </w:r>
            <w:r>
              <w:rPr>
                <w:rStyle w:val="11"/>
                <w:rFonts w:ascii="Times New Roman" w:hAnsi="Times New Roman" w:cs="Times New Roman"/>
                <w:sz w:val="24"/>
                <w:szCs w:val="24"/>
                <w:lang w:val="en-US"/>
              </w:rPr>
              <w:t>molderf</w:t>
            </w:r>
            <w:r>
              <w:rPr>
                <w:rStyle w:val="11"/>
                <w:rFonts w:ascii="Times New Roman" w:hAnsi="Times New Roman" w:cs="Times New Roman"/>
                <w:sz w:val="24"/>
                <w:szCs w:val="24"/>
              </w:rPr>
              <w:t>@lnu.edu.ua</w:t>
            </w:r>
            <w:r>
              <w:rPr>
                <w:rStyle w:val="11"/>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739" w:type="dxa"/>
          </w:tcPr>
          <w:p>
            <w:pPr>
              <w:spacing w:after="0" w:line="240" w:lineRule="auto"/>
              <w:rPr>
                <w:rFonts w:ascii="Times New Roman" w:hAnsi="Times New Roman" w:cs="Times New Roman"/>
                <w:sz w:val="24"/>
                <w:lang w:val="en-US"/>
              </w:rPr>
            </w:pPr>
            <w:r>
              <w:fldChar w:fldCharType="begin"/>
            </w:r>
            <w:r>
              <w:instrText xml:space="preserve"> HYPERLINK "mailto:volodymyr.sulym@lnu.edu.ua" </w:instrText>
            </w:r>
            <w:r>
              <w:fldChar w:fldCharType="separate"/>
            </w:r>
            <w:r>
              <w:rPr>
                <w:rStyle w:val="11"/>
                <w:rFonts w:ascii="Times New Roman" w:hAnsi="Times New Roman" w:cs="Times New Roman"/>
              </w:rPr>
              <w:t>volodymyr.sulym@lnu.edu.ua</w:t>
            </w:r>
            <w:r>
              <w:rPr>
                <w:rStyle w:val="11"/>
                <w:rFonts w:ascii="Times New Roman" w:hAnsi="Times New Roman" w:cs="Times New Roman"/>
              </w:rPr>
              <w:fldChar w:fldCharType="end"/>
            </w:r>
          </w:p>
          <w:p>
            <w:pPr>
              <w:spacing w:after="0" w:line="240" w:lineRule="auto"/>
              <w:rPr>
                <w:rFonts w:ascii="Times New Roman" w:hAnsi="Times New Roman" w:cs="Times New Roman"/>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3739" w:type="dxa"/>
          </w:tcPr>
          <w:p>
            <w:pPr>
              <w:spacing w:after="0" w:line="240" w:lineRule="auto"/>
              <w:rPr>
                <w:rFonts w:ascii="Times New Roman" w:hAnsi="Times New Roman" w:cs="Times New Roman"/>
                <w:sz w:val="24"/>
                <w:szCs w:val="24"/>
              </w:rPr>
            </w:pPr>
            <w:r>
              <w:fldChar w:fldCharType="begin"/>
            </w:r>
            <w:r>
              <w:instrText xml:space="preserve"> HYPERLINK "https://lingua.lnu.edu.ua/employee/molderf-oksana-evhenivna" </w:instrText>
            </w:r>
            <w:r>
              <w:fldChar w:fldCharType="separate"/>
            </w:r>
            <w:r>
              <w:rPr>
                <w:rStyle w:val="11"/>
                <w:rFonts w:ascii="Times New Roman" w:hAnsi="Times New Roman" w:cs="Times New Roman"/>
                <w:sz w:val="24"/>
                <w:szCs w:val="24"/>
              </w:rPr>
              <w:t>https://lingua.lnu.edu.ua/employee/molderf-oksana-evhenivna</w:t>
            </w:r>
            <w:r>
              <w:rPr>
                <w:rStyle w:val="11"/>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739" w:type="dxa"/>
          </w:tcPr>
          <w:p>
            <w:pPr>
              <w:spacing w:after="0" w:line="240" w:lineRule="auto"/>
              <w:rPr>
                <w:rFonts w:ascii="Times New Roman" w:hAnsi="Times New Roman" w:cs="Times New Roman"/>
                <w:sz w:val="24"/>
              </w:rPr>
            </w:pPr>
            <w:r>
              <w:rPr>
                <w:rFonts w:ascii="Times New Roman" w:hAnsi="Times New Roman" w:cs="Times New Roman"/>
              </w:rPr>
              <w:t>https://lingua.lnu.edu.ua/employee/sulym-volodymyr-trohymovych</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747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день проведення лекцій і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7478"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289"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11"/>
                <w:rFonts w:ascii="Times New Roman" w:hAnsi="Times New Roman" w:cs="Times New Roman"/>
                <w:sz w:val="24"/>
                <w:szCs w:val="24"/>
              </w:rPr>
              <w:t>https://lingua.lnu.edu.ua/department/mizhkulturnoji-komunikatsiji-ta-perekladu</w:t>
            </w:r>
            <w:r>
              <w:rPr>
                <w:rStyle w:val="11"/>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28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Дисципліна «Переклад медійних текстів» є вибірковою дисципліною зі спеціальності 035 Філологія для освітньої програми ОС «магістр», яка викладається у 2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289" w:type="dxa"/>
          </w:tcPr>
          <w:p>
            <w:pPr>
              <w:pStyle w:val="7"/>
              <w:tabs>
                <w:tab w:val="clear" w:pos="4677"/>
                <w:tab w:val="clear" w:pos="9355"/>
              </w:tabs>
              <w:jc w:val="both"/>
            </w:pPr>
            <w:r>
              <w:t>формувати у студентів-магістрів розуміння поняття «медійний текст»; ознайомити їх з характерними рисами медійного тексту; формувати у студентів вміння і навички перекладу медійних текстів різних жанрів і типів.</w:t>
            </w:r>
          </w:p>
          <w:p>
            <w:pPr>
              <w:pStyle w:val="7"/>
              <w:tabs>
                <w:tab w:val="clear" w:pos="4677"/>
                <w:tab w:val="clear" w:pos="9355"/>
              </w:tabs>
              <w:jc w:val="both"/>
              <w:rPr>
                <w:b/>
              </w:rPr>
            </w:pPr>
            <w:r>
              <w:rPr>
                <w:b/>
              </w:rPr>
              <w:t>Завдання дисципліни:</w:t>
            </w:r>
          </w:p>
          <w:p>
            <w:pPr>
              <w:pStyle w:val="7"/>
              <w:numPr>
                <w:ilvl w:val="0"/>
                <w:numId w:val="1"/>
              </w:numPr>
              <w:tabs>
                <w:tab w:val="clear" w:pos="4677"/>
                <w:tab w:val="clear" w:pos="9355"/>
              </w:tabs>
              <w:ind w:left="0" w:firstLine="426"/>
              <w:jc w:val="both"/>
            </w:pPr>
            <w:r>
              <w:t>формувати у студентів розуміння комплексного поняття «медійний текст»;</w:t>
            </w:r>
          </w:p>
          <w:p>
            <w:pPr>
              <w:pStyle w:val="7"/>
              <w:numPr>
                <w:ilvl w:val="0"/>
                <w:numId w:val="1"/>
              </w:numPr>
              <w:tabs>
                <w:tab w:val="clear" w:pos="4677"/>
                <w:tab w:val="clear" w:pos="9355"/>
              </w:tabs>
              <w:ind w:left="0" w:firstLine="426"/>
              <w:jc w:val="both"/>
            </w:pPr>
            <w:r>
              <w:t>ознайомити студентів з особливостями медійних текстів у діахронній перспективі;</w:t>
            </w:r>
          </w:p>
          <w:p>
            <w:pPr>
              <w:pStyle w:val="7"/>
              <w:numPr>
                <w:ilvl w:val="0"/>
                <w:numId w:val="1"/>
              </w:numPr>
              <w:tabs>
                <w:tab w:val="clear" w:pos="4677"/>
                <w:tab w:val="clear" w:pos="9355"/>
              </w:tabs>
              <w:ind w:left="0" w:firstLine="426"/>
              <w:jc w:val="both"/>
            </w:pPr>
            <w:r>
              <w:t>ознайомити студентів зі специфікою сучасних медійних текстів та зумовленими цією специфікою перекладацькими проблемами;</w:t>
            </w:r>
          </w:p>
          <w:p>
            <w:pPr>
              <w:pStyle w:val="7"/>
              <w:numPr>
                <w:ilvl w:val="0"/>
                <w:numId w:val="1"/>
              </w:numPr>
              <w:tabs>
                <w:tab w:val="clear" w:pos="4677"/>
                <w:tab w:val="clear" w:pos="9355"/>
              </w:tabs>
              <w:ind w:left="0" w:firstLine="426"/>
              <w:jc w:val="both"/>
            </w:pPr>
            <w:r>
              <w:t>висвітлити найтиповіші проблеми та труднощі перекладу медійних текстів;</w:t>
            </w:r>
          </w:p>
          <w:p>
            <w:pPr>
              <w:pStyle w:val="7"/>
              <w:numPr>
                <w:ilvl w:val="0"/>
                <w:numId w:val="1"/>
              </w:numPr>
              <w:tabs>
                <w:tab w:val="clear" w:pos="4677"/>
                <w:tab w:val="clear" w:pos="9355"/>
              </w:tabs>
              <w:ind w:left="0" w:firstLine="426"/>
              <w:jc w:val="both"/>
            </w:pPr>
            <w:r>
              <w:t>формувати у студентів знання, уміння та навики, необхідні для створення якісного перекладу медійних текстів.</w:t>
            </w:r>
          </w:p>
          <w:p>
            <w:pPr>
              <w:pStyle w:val="1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89" w:type="dxa"/>
          </w:tcPr>
          <w:p>
            <w:pPr>
              <w:spacing w:after="0" w:line="240" w:lineRule="auto"/>
              <w:ind w:firstLine="567"/>
              <w:jc w:val="both"/>
              <w:rPr>
                <w:rFonts w:ascii="Times New Roman" w:hAnsi="Times New Roman" w:cs="Times New Roman"/>
                <w:lang w:val="de-DE"/>
              </w:rPr>
            </w:pPr>
            <w:r>
              <w:rPr>
                <w:rFonts w:ascii="Times New Roman" w:hAnsi="Times New Roman" w:cs="Times New Roman"/>
                <w:lang w:val="de-DE"/>
              </w:rPr>
              <w:t xml:space="preserve">1. Lüger H.-H. Pressesprache / Heinz-Helmut Lüger. – Tübingen : Max Niemeyer Verlag, 1995. </w:t>
            </w:r>
          </w:p>
          <w:p>
            <w:pPr>
              <w:spacing w:after="0" w:line="240" w:lineRule="auto"/>
              <w:ind w:firstLine="567"/>
              <w:jc w:val="both"/>
              <w:rPr>
                <w:rFonts w:ascii="Times New Roman" w:hAnsi="Times New Roman" w:cs="Times New Roman"/>
                <w:lang w:val="de-DE"/>
              </w:rPr>
            </w:pPr>
            <w:r>
              <w:rPr>
                <w:rFonts w:ascii="Times New Roman" w:hAnsi="Times New Roman" w:cs="Times New Roman"/>
                <w:lang w:val="de-DE"/>
              </w:rPr>
              <w:t xml:space="preserve">2. Dittmar J.F. Grundlagen der Medienwissenschaft / Jakob F. Dittmar. – Berlin : Universitätsverlag der TU Berlin, 2011. </w:t>
            </w:r>
          </w:p>
          <w:p>
            <w:pPr>
              <w:spacing w:after="0" w:line="240" w:lineRule="auto"/>
              <w:ind w:firstLine="567"/>
              <w:jc w:val="both"/>
              <w:rPr>
                <w:rFonts w:ascii="Times New Roman" w:hAnsi="Times New Roman" w:cs="Times New Roman"/>
                <w:lang w:val="de-DE"/>
              </w:rPr>
            </w:pPr>
            <w:r>
              <w:rPr>
                <w:rFonts w:ascii="Times New Roman" w:hAnsi="Times New Roman" w:cs="Times New Roman"/>
                <w:lang w:val="de-DE"/>
              </w:rPr>
              <w:t xml:space="preserve">3. Burger H. Mediensprache. </w:t>
            </w:r>
            <w:r>
              <w:rPr>
                <w:rStyle w:val="25"/>
                <w:rFonts w:ascii="Times New Roman" w:hAnsi="Times New Roman" w:cs="Times New Roman"/>
                <w:lang w:val="de-DE"/>
              </w:rPr>
              <w:t>Eine Einführung in Sprache und Kommunikationsformen der Massenmedien</w:t>
            </w:r>
            <w:r>
              <w:rPr>
                <w:rFonts w:ascii="Times New Roman" w:hAnsi="Times New Roman" w:cs="Times New Roman"/>
                <w:lang w:val="de-DE"/>
              </w:rPr>
              <w:t xml:space="preserve"> / Harald Burger. – 2011. – Berlin; Boston : De Gruyter, 2005. </w:t>
            </w:r>
          </w:p>
          <w:p>
            <w:pPr>
              <w:spacing w:after="0" w:line="240" w:lineRule="auto"/>
              <w:ind w:firstLine="567"/>
              <w:jc w:val="both"/>
              <w:rPr>
                <w:rFonts w:ascii="Times New Roman" w:hAnsi="Times New Roman" w:eastAsia="DGMetaScience" w:cs="Times New Roman"/>
                <w:lang w:val="de-DE"/>
              </w:rPr>
            </w:pPr>
            <w:r>
              <w:rPr>
                <w:rFonts w:ascii="Times New Roman" w:hAnsi="Times New Roman" w:cs="Times New Roman"/>
                <w:lang w:val="de-DE"/>
              </w:rPr>
              <w:t xml:space="preserve">4. </w:t>
            </w:r>
            <w:r>
              <w:rPr>
                <w:rFonts w:ascii="Times New Roman" w:hAnsi="Times New Roman" w:eastAsia="DGMetaScience" w:cs="Times New Roman"/>
                <w:lang w:val="de-DE"/>
              </w:rPr>
              <w:t xml:space="preserve">Adamzik K. Textlinguistik. Eine einführende Darstellung / Kirsten Adamzik. – Tübingen: Niemeyer Verlag, 2004. </w:t>
            </w:r>
          </w:p>
          <w:p>
            <w:pPr>
              <w:spacing w:after="0" w:line="240" w:lineRule="auto"/>
              <w:ind w:firstLine="567"/>
              <w:jc w:val="both"/>
              <w:rPr>
                <w:rFonts w:ascii="Times New Roman" w:hAnsi="Times New Roman" w:eastAsia="DGMetaScience" w:cs="Times New Roman"/>
                <w:lang w:val="de-DE"/>
              </w:rPr>
            </w:pPr>
            <w:r>
              <w:rPr>
                <w:rFonts w:ascii="Times New Roman" w:hAnsi="Times New Roman" w:eastAsia="DGMetaScience" w:cs="Times New Roman"/>
                <w:lang w:val="de-DE"/>
              </w:rPr>
              <w:t xml:space="preserve">5. Brinker K. Linguistische Textanalyse: Eine Einführung in Grundbegriffe und Methoden / Klaus Brinker. – Berlin : Schmidt Verlag, 2010. </w:t>
            </w:r>
          </w:p>
          <w:p>
            <w:pPr>
              <w:spacing w:after="0" w:line="240" w:lineRule="auto"/>
              <w:ind w:firstLine="567"/>
              <w:jc w:val="both"/>
              <w:rPr>
                <w:rFonts w:ascii="Times New Roman" w:hAnsi="Times New Roman" w:eastAsia="DGMetaScience" w:cs="Times New Roman"/>
                <w:lang w:val="de-DE"/>
              </w:rPr>
            </w:pPr>
            <w:r>
              <w:rPr>
                <w:rFonts w:ascii="Times New Roman" w:hAnsi="Times New Roman" w:eastAsia="DGMetaScience" w:cs="Times New Roman"/>
                <w:lang w:val="de-DE"/>
              </w:rPr>
              <w:t xml:space="preserve">6. Brungel-Dittrich M. Speech Presentation in the British and German Press / Melanie Brungel-Dittrich. – Frankfurt a. M.: Peter Lang Verlag, 2006. </w:t>
            </w:r>
          </w:p>
          <w:p>
            <w:pPr>
              <w:spacing w:after="0" w:line="240" w:lineRule="auto"/>
              <w:ind w:firstLine="567"/>
              <w:jc w:val="both"/>
              <w:rPr>
                <w:rFonts w:ascii="Times New Roman" w:hAnsi="Times New Roman" w:eastAsia="DGMetaScience" w:cs="Times New Roman"/>
                <w:lang w:val="de-DE"/>
              </w:rPr>
            </w:pPr>
            <w:r>
              <w:rPr>
                <w:rFonts w:ascii="Times New Roman" w:hAnsi="Times New Roman" w:eastAsia="DGMetaScience" w:cs="Times New Roman"/>
                <w:lang w:val="de-DE"/>
              </w:rPr>
              <w:t>7. Bucher H. J. Pressekommunikation: Grundstrukturen einer öffentlichen Form der Kommunikation aus linguistischer Sicht / Hans-Jürgen Bucher. – Tübingen: Niemeyer Verlag, 1986.</w:t>
            </w:r>
          </w:p>
          <w:p>
            <w:pPr>
              <w:spacing w:after="0" w:line="240" w:lineRule="auto"/>
              <w:ind w:firstLine="567"/>
              <w:jc w:val="both"/>
              <w:rPr>
                <w:rFonts w:ascii="Times New Roman" w:hAnsi="Times New Roman" w:eastAsia="DGMetaScience" w:cs="Times New Roman"/>
                <w:lang w:val="de-DE"/>
              </w:rPr>
            </w:pPr>
            <w:r>
              <w:rPr>
                <w:rFonts w:ascii="Times New Roman" w:hAnsi="Times New Roman" w:eastAsia="DGMetaScience" w:cs="Times New Roman"/>
                <w:lang w:val="de-DE"/>
              </w:rPr>
              <w:t>8. Burger H. Das Gespräch in den Massenmedien / Harald Burger. – Berlin: de Gruyter, 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(2),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год – лекційних, 16 год – практичних занять, 58 год –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результаті вивчення навчальної дисципліни студент повинен </w:t>
            </w:r>
            <w:r>
              <w:rPr>
                <w:rFonts w:ascii="Times New Roman" w:hAnsi="Times New Roman" w:cs="Times New Roman"/>
                <w:b/>
                <w:sz w:val="24"/>
                <w:szCs w:val="24"/>
              </w:rPr>
              <w:t>знати</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історію розвитку медійного контенту;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специфіку сучасних медійних текстів;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основні закономірності перекладу медійних текстів;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проблеми та труднощі перекладу медійних текстів.</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Вміти: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вирізняти медійних текст серед інших типів текстів;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визначати конкретні проблеми перекладу медійних текстів та, використовуючи набуті знання, пропонувати шляхи їхнього подолання;</w:t>
            </w:r>
          </w:p>
          <w:p>
            <w:pPr>
              <w:widowControl w:val="0"/>
              <w:suppressAutoHyphens/>
              <w:spacing w:after="0" w:line="240" w:lineRule="auto"/>
              <w:jc w:val="both"/>
              <w:rPr>
                <w:rFonts w:ascii="Times New Roman" w:hAnsi="Times New Roman" w:cs="Times New Roman"/>
              </w:rPr>
            </w:pPr>
            <w:r>
              <w:rPr>
                <w:rFonts w:ascii="Times New Roman" w:hAnsi="Times New Roman" w:cs="Times New Roman"/>
                <w:sz w:val="24"/>
                <w:szCs w:val="24"/>
              </w:rPr>
              <w:t>створювати якісний переклад медійних текстів з урахуванням їхньої специфіки.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 медійний текст, медійний продукт, газета, журнал, газетна стаття, газетна рубрика, телепрограма, телебачення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89" w:type="dxa"/>
          </w:tcPr>
          <w:p>
            <w:pPr>
              <w:pStyle w:val="28"/>
              <w:jc w:val="both"/>
              <w:textAlignment w:val="baseline"/>
            </w:pPr>
            <w:r>
              <w:rPr>
                <w:rStyle w:val="23"/>
              </w:rPr>
              <w:t>Залік в кінці семестру</w:t>
            </w:r>
            <w:r>
              <w:rPr>
                <w:rStyle w:val="29"/>
                <w:rFonts w:eastAsiaTheme="majorEastAsia"/>
              </w:rPr>
              <w:t>.</w:t>
            </w:r>
          </w:p>
          <w:p>
            <w:pPr>
              <w:pStyle w:val="28"/>
              <w:jc w:val="both"/>
              <w:textAlignment w:val="baseline"/>
            </w:pPr>
            <w:r>
              <w:rPr>
                <w:rStyle w:val="23"/>
              </w:rPr>
              <w:t>Виставляється автоматично на підставі врахування поточної успішності протягом семестру та виконаної самостійної роботи.</w:t>
            </w:r>
            <w:r>
              <w:rPr>
                <w:rStyle w:val="29"/>
                <w:rFonts w:eastAsiaTheme="majorEastAsia"/>
              </w:rPr>
              <w:t>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Методи контролю:</w:t>
            </w:r>
            <w:r>
              <w:rPr>
                <w:sz w:val="24"/>
              </w:rPr>
              <w:t xml:space="preserve"> </w:t>
            </w: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«Практика перекладу з першої іноземної мови», «Теорія перекладу», достатніх для сприйняття категоріального апарату в рамках дисципліни «Переклад медійних текстів».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такі: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3596"/>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Письмові роботи: </w:t>
            </w:r>
            <w:r>
              <w:rPr>
                <w:rFonts w:ascii="Times New Roman" w:hAnsi="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«Переклад медійних текстів».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89" w:type="dxa"/>
          </w:tcPr>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Медійний текст в контексті теорії комунікації та історичному контексті.</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Інтертекстуальність та інтратекстуальність медійних текстів.</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Співвідношення усного та писемного в медійних текстах. Реальність та фікція.</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Текст у пресі та телебаченні. Зв'язок тексту та зображення.</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Синтаксис та лексика медійних текстів як перекладацька проблема.</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Риторично-стилістичні аспекти медійних текстів в контексті перекладу. </w:t>
            </w:r>
          </w:p>
          <w:p>
            <w:pPr>
              <w:pStyle w:val="16"/>
              <w:widowControl w:val="0"/>
              <w:numPr>
                <w:ilvl w:val="0"/>
                <w:numId w:val="2"/>
              </w:numPr>
              <w:spacing w:after="0" w:line="360" w:lineRule="auto"/>
              <w:jc w:val="both"/>
              <w:rPr>
                <w:rFonts w:ascii="Times New Roman" w:hAnsi="Times New Roman" w:cs="Times New Roman"/>
              </w:rPr>
            </w:pPr>
            <w:r>
              <w:rPr>
                <w:rFonts w:ascii="Times New Roman" w:hAnsi="Times New Roman" w:cs="Times New Roman"/>
              </w:rPr>
              <w:t>Новини, репортаж, коментар: специфіка перекладу.</w:t>
            </w:r>
          </w:p>
          <w:p>
            <w:pPr>
              <w:pStyle w:val="16"/>
              <w:widowControl w:val="0"/>
              <w:numPr>
                <w:ilvl w:val="0"/>
                <w:numId w:val="2"/>
              </w:numPr>
              <w:spacing w:after="0" w:line="360" w:lineRule="auto"/>
              <w:jc w:val="both"/>
            </w:pPr>
            <w:r>
              <w:rPr>
                <w:rFonts w:ascii="Times New Roman" w:hAnsi="Times New Roman" w:cs="Times New Roman"/>
              </w:rPr>
              <w:t>Газетні рубрики в контексті перекладу.</w:t>
            </w:r>
          </w:p>
        </w:tc>
      </w:tr>
      <w:tr>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rPr>
          <w:rFonts w:ascii="Times New Roman" w:hAnsi="Times New Roman" w:cs="Times New Roman"/>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DGMetaScience">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C31"/>
    <w:multiLevelType w:val="multilevel"/>
    <w:tmpl w:val="07196C3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D57C13"/>
    <w:multiLevelType w:val="multilevel"/>
    <w:tmpl w:val="1BD57C13"/>
    <w:lvl w:ilvl="0" w:tentative="0">
      <w:start w:val="1"/>
      <w:numFmt w:val="bullet"/>
      <w:lvlText w:val="−"/>
      <w:lvlJc w:val="left"/>
      <w:pPr>
        <w:ind w:left="1287" w:hanging="360"/>
      </w:pPr>
      <w:rPr>
        <w:rFonts w:hint="default" w:ascii="Times New Roman" w:hAnsi="Times New Roman" w:cs="Times New Roman"/>
        <w:lang w:val="uk-UA"/>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5310"/>
    <w:rsid w:val="000474BE"/>
    <w:rsid w:val="00060228"/>
    <w:rsid w:val="000668B0"/>
    <w:rsid w:val="000838A5"/>
    <w:rsid w:val="00086DF1"/>
    <w:rsid w:val="00090C59"/>
    <w:rsid w:val="000963DC"/>
    <w:rsid w:val="000968BD"/>
    <w:rsid w:val="000A0745"/>
    <w:rsid w:val="000A21C4"/>
    <w:rsid w:val="000C3454"/>
    <w:rsid w:val="000C5870"/>
    <w:rsid w:val="000D69EC"/>
    <w:rsid w:val="000E5773"/>
    <w:rsid w:val="000E6ABA"/>
    <w:rsid w:val="000E77F4"/>
    <w:rsid w:val="000F1E7C"/>
    <w:rsid w:val="000F3197"/>
    <w:rsid w:val="00110FFE"/>
    <w:rsid w:val="00112DF1"/>
    <w:rsid w:val="001220E5"/>
    <w:rsid w:val="00123688"/>
    <w:rsid w:val="0013312D"/>
    <w:rsid w:val="00140854"/>
    <w:rsid w:val="001474C1"/>
    <w:rsid w:val="00147CA5"/>
    <w:rsid w:val="001512F1"/>
    <w:rsid w:val="00154C3D"/>
    <w:rsid w:val="001666C5"/>
    <w:rsid w:val="00170AD3"/>
    <w:rsid w:val="001823C7"/>
    <w:rsid w:val="001912B7"/>
    <w:rsid w:val="001A3CC0"/>
    <w:rsid w:val="001C2E13"/>
    <w:rsid w:val="001C4800"/>
    <w:rsid w:val="001E036B"/>
    <w:rsid w:val="001E0AC5"/>
    <w:rsid w:val="0020008C"/>
    <w:rsid w:val="00200813"/>
    <w:rsid w:val="00210F88"/>
    <w:rsid w:val="0023189C"/>
    <w:rsid w:val="00246A5B"/>
    <w:rsid w:val="00252CD5"/>
    <w:rsid w:val="00255CCF"/>
    <w:rsid w:val="002567B2"/>
    <w:rsid w:val="00262A68"/>
    <w:rsid w:val="00265B5C"/>
    <w:rsid w:val="002668D5"/>
    <w:rsid w:val="002802FE"/>
    <w:rsid w:val="0028363C"/>
    <w:rsid w:val="00291490"/>
    <w:rsid w:val="0029693D"/>
    <w:rsid w:val="0029704F"/>
    <w:rsid w:val="002A331C"/>
    <w:rsid w:val="002A3B14"/>
    <w:rsid w:val="002B5D05"/>
    <w:rsid w:val="002B5E45"/>
    <w:rsid w:val="002C1578"/>
    <w:rsid w:val="002C3E1A"/>
    <w:rsid w:val="002C7537"/>
    <w:rsid w:val="002D6EAC"/>
    <w:rsid w:val="002E398D"/>
    <w:rsid w:val="002F3A04"/>
    <w:rsid w:val="00311938"/>
    <w:rsid w:val="0031763F"/>
    <w:rsid w:val="00324625"/>
    <w:rsid w:val="00340733"/>
    <w:rsid w:val="003520DA"/>
    <w:rsid w:val="00353240"/>
    <w:rsid w:val="003607B5"/>
    <w:rsid w:val="0037198D"/>
    <w:rsid w:val="003758AD"/>
    <w:rsid w:val="00377564"/>
    <w:rsid w:val="00391039"/>
    <w:rsid w:val="00395881"/>
    <w:rsid w:val="00395883"/>
    <w:rsid w:val="003A1B35"/>
    <w:rsid w:val="003A6AE1"/>
    <w:rsid w:val="003B2BD1"/>
    <w:rsid w:val="003B701F"/>
    <w:rsid w:val="003C08C1"/>
    <w:rsid w:val="003C59C0"/>
    <w:rsid w:val="003E78EB"/>
    <w:rsid w:val="003F75A8"/>
    <w:rsid w:val="00400D6D"/>
    <w:rsid w:val="00410662"/>
    <w:rsid w:val="004113ED"/>
    <w:rsid w:val="00421927"/>
    <w:rsid w:val="004229F5"/>
    <w:rsid w:val="004416DC"/>
    <w:rsid w:val="004448ED"/>
    <w:rsid w:val="004451D2"/>
    <w:rsid w:val="004563A3"/>
    <w:rsid w:val="00464607"/>
    <w:rsid w:val="00474594"/>
    <w:rsid w:val="00481D73"/>
    <w:rsid w:val="00484403"/>
    <w:rsid w:val="00487750"/>
    <w:rsid w:val="004A4E9E"/>
    <w:rsid w:val="004B5C77"/>
    <w:rsid w:val="004C37DA"/>
    <w:rsid w:val="004D224B"/>
    <w:rsid w:val="004D553C"/>
    <w:rsid w:val="004D5660"/>
    <w:rsid w:val="004E739A"/>
    <w:rsid w:val="004F6CD2"/>
    <w:rsid w:val="00530816"/>
    <w:rsid w:val="00531126"/>
    <w:rsid w:val="0053225B"/>
    <w:rsid w:val="00543A92"/>
    <w:rsid w:val="00571E70"/>
    <w:rsid w:val="005839FE"/>
    <w:rsid w:val="005871A6"/>
    <w:rsid w:val="00591AE6"/>
    <w:rsid w:val="005A7553"/>
    <w:rsid w:val="005A7AA5"/>
    <w:rsid w:val="005B2693"/>
    <w:rsid w:val="005B3A52"/>
    <w:rsid w:val="005D462F"/>
    <w:rsid w:val="005E430C"/>
    <w:rsid w:val="005E53B6"/>
    <w:rsid w:val="005E5599"/>
    <w:rsid w:val="005F3825"/>
    <w:rsid w:val="005F606F"/>
    <w:rsid w:val="00622338"/>
    <w:rsid w:val="0063013B"/>
    <w:rsid w:val="00633166"/>
    <w:rsid w:val="006348E4"/>
    <w:rsid w:val="00637C35"/>
    <w:rsid w:val="00661710"/>
    <w:rsid w:val="00682A19"/>
    <w:rsid w:val="006B39B6"/>
    <w:rsid w:val="006C5C0A"/>
    <w:rsid w:val="006D2B4B"/>
    <w:rsid w:val="006E0793"/>
    <w:rsid w:val="006E7259"/>
    <w:rsid w:val="006F2872"/>
    <w:rsid w:val="006F7E05"/>
    <w:rsid w:val="007233EF"/>
    <w:rsid w:val="00740E45"/>
    <w:rsid w:val="00745231"/>
    <w:rsid w:val="00746BF5"/>
    <w:rsid w:val="00753E89"/>
    <w:rsid w:val="00757015"/>
    <w:rsid w:val="007644A3"/>
    <w:rsid w:val="00766C01"/>
    <w:rsid w:val="007712A3"/>
    <w:rsid w:val="00772960"/>
    <w:rsid w:val="0078790E"/>
    <w:rsid w:val="00787BB8"/>
    <w:rsid w:val="007912E9"/>
    <w:rsid w:val="007944E8"/>
    <w:rsid w:val="007E2646"/>
    <w:rsid w:val="007F2861"/>
    <w:rsid w:val="007F53EC"/>
    <w:rsid w:val="008135AD"/>
    <w:rsid w:val="00833271"/>
    <w:rsid w:val="00846175"/>
    <w:rsid w:val="00856E0C"/>
    <w:rsid w:val="00861B8D"/>
    <w:rsid w:val="00872736"/>
    <w:rsid w:val="008733B0"/>
    <w:rsid w:val="00873F85"/>
    <w:rsid w:val="00875CE8"/>
    <w:rsid w:val="008809E8"/>
    <w:rsid w:val="00886C22"/>
    <w:rsid w:val="008A52E3"/>
    <w:rsid w:val="008B6AFC"/>
    <w:rsid w:val="008B7AB3"/>
    <w:rsid w:val="008C3905"/>
    <w:rsid w:val="008C740E"/>
    <w:rsid w:val="008D519A"/>
    <w:rsid w:val="008D5CEE"/>
    <w:rsid w:val="008E212B"/>
    <w:rsid w:val="008F1502"/>
    <w:rsid w:val="008F65D3"/>
    <w:rsid w:val="008F7638"/>
    <w:rsid w:val="00900BD0"/>
    <w:rsid w:val="00906503"/>
    <w:rsid w:val="00912931"/>
    <w:rsid w:val="00912D1B"/>
    <w:rsid w:val="00921F70"/>
    <w:rsid w:val="00926690"/>
    <w:rsid w:val="00945524"/>
    <w:rsid w:val="00963DF3"/>
    <w:rsid w:val="00976026"/>
    <w:rsid w:val="00993F66"/>
    <w:rsid w:val="00995A90"/>
    <w:rsid w:val="00997E75"/>
    <w:rsid w:val="009C02DF"/>
    <w:rsid w:val="009F3413"/>
    <w:rsid w:val="009F3A8F"/>
    <w:rsid w:val="00A06637"/>
    <w:rsid w:val="00A11B5D"/>
    <w:rsid w:val="00A14F99"/>
    <w:rsid w:val="00A22147"/>
    <w:rsid w:val="00A36AEE"/>
    <w:rsid w:val="00A40F5A"/>
    <w:rsid w:val="00A65B9E"/>
    <w:rsid w:val="00A72D32"/>
    <w:rsid w:val="00A73367"/>
    <w:rsid w:val="00A74C26"/>
    <w:rsid w:val="00A754D9"/>
    <w:rsid w:val="00AA1790"/>
    <w:rsid w:val="00AA3454"/>
    <w:rsid w:val="00AB31FF"/>
    <w:rsid w:val="00AC5066"/>
    <w:rsid w:val="00AC64BF"/>
    <w:rsid w:val="00AD5B28"/>
    <w:rsid w:val="00AD6D50"/>
    <w:rsid w:val="00B13D0F"/>
    <w:rsid w:val="00B16DDD"/>
    <w:rsid w:val="00B176C7"/>
    <w:rsid w:val="00B17A00"/>
    <w:rsid w:val="00B21F1D"/>
    <w:rsid w:val="00B46BC2"/>
    <w:rsid w:val="00B5106A"/>
    <w:rsid w:val="00B51942"/>
    <w:rsid w:val="00B5602C"/>
    <w:rsid w:val="00B66D6F"/>
    <w:rsid w:val="00B70E20"/>
    <w:rsid w:val="00B7661F"/>
    <w:rsid w:val="00B76F7A"/>
    <w:rsid w:val="00B82652"/>
    <w:rsid w:val="00B83657"/>
    <w:rsid w:val="00B87F8F"/>
    <w:rsid w:val="00B900AD"/>
    <w:rsid w:val="00B96B32"/>
    <w:rsid w:val="00B97827"/>
    <w:rsid w:val="00BA0648"/>
    <w:rsid w:val="00BA5AF6"/>
    <w:rsid w:val="00BA5C64"/>
    <w:rsid w:val="00BB0BB8"/>
    <w:rsid w:val="00BC3238"/>
    <w:rsid w:val="00BD09E5"/>
    <w:rsid w:val="00BD58B9"/>
    <w:rsid w:val="00BE36CD"/>
    <w:rsid w:val="00BE4CC3"/>
    <w:rsid w:val="00BF0DCC"/>
    <w:rsid w:val="00BF129C"/>
    <w:rsid w:val="00BF379C"/>
    <w:rsid w:val="00C0634B"/>
    <w:rsid w:val="00C15F59"/>
    <w:rsid w:val="00C173A1"/>
    <w:rsid w:val="00C32AC1"/>
    <w:rsid w:val="00C54FB1"/>
    <w:rsid w:val="00C60DCF"/>
    <w:rsid w:val="00C62BFE"/>
    <w:rsid w:val="00C65C7B"/>
    <w:rsid w:val="00C65F69"/>
    <w:rsid w:val="00C75674"/>
    <w:rsid w:val="00C80F24"/>
    <w:rsid w:val="00C81BD4"/>
    <w:rsid w:val="00C85589"/>
    <w:rsid w:val="00C85CB8"/>
    <w:rsid w:val="00C95DBF"/>
    <w:rsid w:val="00CA0EED"/>
    <w:rsid w:val="00CA1B66"/>
    <w:rsid w:val="00CA43D1"/>
    <w:rsid w:val="00CB0EE3"/>
    <w:rsid w:val="00CE0A75"/>
    <w:rsid w:val="00CE0BC8"/>
    <w:rsid w:val="00CF0147"/>
    <w:rsid w:val="00CF38FE"/>
    <w:rsid w:val="00CF6EF8"/>
    <w:rsid w:val="00CF7B63"/>
    <w:rsid w:val="00D023A7"/>
    <w:rsid w:val="00D0611A"/>
    <w:rsid w:val="00D1431A"/>
    <w:rsid w:val="00D220A8"/>
    <w:rsid w:val="00D222F5"/>
    <w:rsid w:val="00D25775"/>
    <w:rsid w:val="00D35902"/>
    <w:rsid w:val="00D4199B"/>
    <w:rsid w:val="00D41EF2"/>
    <w:rsid w:val="00D42B62"/>
    <w:rsid w:val="00D44328"/>
    <w:rsid w:val="00D44F54"/>
    <w:rsid w:val="00D46615"/>
    <w:rsid w:val="00D46B73"/>
    <w:rsid w:val="00D53949"/>
    <w:rsid w:val="00D56BFF"/>
    <w:rsid w:val="00D61AB9"/>
    <w:rsid w:val="00D62F8A"/>
    <w:rsid w:val="00D66059"/>
    <w:rsid w:val="00D67F28"/>
    <w:rsid w:val="00D72547"/>
    <w:rsid w:val="00D72CF1"/>
    <w:rsid w:val="00D7410C"/>
    <w:rsid w:val="00DA4300"/>
    <w:rsid w:val="00DB10D9"/>
    <w:rsid w:val="00DC3EF4"/>
    <w:rsid w:val="00DC4DD7"/>
    <w:rsid w:val="00DD44B6"/>
    <w:rsid w:val="00DD49E4"/>
    <w:rsid w:val="00DD5365"/>
    <w:rsid w:val="00DE4E6F"/>
    <w:rsid w:val="00DF618D"/>
    <w:rsid w:val="00E0490E"/>
    <w:rsid w:val="00E05661"/>
    <w:rsid w:val="00E21327"/>
    <w:rsid w:val="00E22534"/>
    <w:rsid w:val="00E271CB"/>
    <w:rsid w:val="00E33C03"/>
    <w:rsid w:val="00E51E49"/>
    <w:rsid w:val="00E755C1"/>
    <w:rsid w:val="00E77176"/>
    <w:rsid w:val="00E83BB6"/>
    <w:rsid w:val="00EA5BBB"/>
    <w:rsid w:val="00EC47B3"/>
    <w:rsid w:val="00ED0B47"/>
    <w:rsid w:val="00ED4A1E"/>
    <w:rsid w:val="00ED679D"/>
    <w:rsid w:val="00EE1595"/>
    <w:rsid w:val="00EE3967"/>
    <w:rsid w:val="00EE7039"/>
    <w:rsid w:val="00EF2C86"/>
    <w:rsid w:val="00EF37F4"/>
    <w:rsid w:val="00F0134F"/>
    <w:rsid w:val="00F20A92"/>
    <w:rsid w:val="00F23949"/>
    <w:rsid w:val="00F57A38"/>
    <w:rsid w:val="00F57AEF"/>
    <w:rsid w:val="00F622CF"/>
    <w:rsid w:val="00F66F80"/>
    <w:rsid w:val="00FA030D"/>
    <w:rsid w:val="00FA49D2"/>
    <w:rsid w:val="00FA656E"/>
    <w:rsid w:val="00FB7668"/>
    <w:rsid w:val="00FC295D"/>
    <w:rsid w:val="00FC74B7"/>
    <w:rsid w:val="00FD2F64"/>
    <w:rsid w:val="00FD6660"/>
    <w:rsid w:val="00FD7C58"/>
    <w:rsid w:val="00FE33EC"/>
    <w:rsid w:val="00FF58ED"/>
    <w:rsid w:val="00FF68F5"/>
    <w:rsid w:val="0659EEDA"/>
    <w:rsid w:val="08263B67"/>
    <w:rsid w:val="085D413A"/>
    <w:rsid w:val="1DB988F0"/>
    <w:rsid w:val="22683837"/>
    <w:rsid w:val="5AB651F1"/>
    <w:rsid w:val="FFFEAAB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4"/>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7"/>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8"/>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alloon Text"/>
    <w:basedOn w:val="1"/>
    <w:link w:val="20"/>
    <w:unhideWhenUsed/>
    <w:qFormat/>
    <w:uiPriority w:val="99"/>
    <w:pPr>
      <w:spacing w:after="0" w:line="240" w:lineRule="auto"/>
    </w:pPr>
    <w:rPr>
      <w:rFonts w:ascii="Tahoma" w:hAnsi="Tahoma" w:cs="Tahoma"/>
      <w:sz w:val="16"/>
      <w:szCs w:val="16"/>
    </w:rPr>
  </w:style>
  <w:style w:type="paragraph" w:styleId="6">
    <w:name w:val="Body Text"/>
    <w:basedOn w:val="1"/>
    <w:link w:val="19"/>
    <w:qFormat/>
    <w:uiPriority w:val="0"/>
    <w:pPr>
      <w:spacing w:after="120" w:line="240" w:lineRule="auto"/>
    </w:pPr>
    <w:rPr>
      <w:rFonts w:ascii="Times New Roman" w:hAnsi="Times New Roman" w:eastAsia="Times New Roman" w:cs="Times New Roman"/>
      <w:sz w:val="28"/>
      <w:szCs w:val="24"/>
      <w:lang w:val="ru-RU" w:eastAsia="ru-RU"/>
    </w:rPr>
  </w:style>
  <w:style w:type="paragraph" w:styleId="7">
    <w:name w:val="header"/>
    <w:basedOn w:val="1"/>
    <w:link w:val="24"/>
    <w:qFormat/>
    <w:uiPriority w:val="0"/>
    <w:pPr>
      <w:tabs>
        <w:tab w:val="center" w:pos="4677"/>
        <w:tab w:val="right" w:pos="9355"/>
      </w:tabs>
      <w:suppressAutoHyphens/>
      <w:spacing w:after="0" w:line="240" w:lineRule="auto"/>
    </w:pPr>
    <w:rPr>
      <w:rFonts w:ascii="Times New Roman" w:hAnsi="Times New Roman" w:eastAsia="Times New Roman" w:cs="Times New Roman"/>
      <w:sz w:val="24"/>
      <w:szCs w:val="24"/>
      <w:lang w:eastAsia="ar-SA"/>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10">
    <w:name w:val="FollowedHyperlink"/>
    <w:basedOn w:val="9"/>
    <w:unhideWhenUsed/>
    <w:qFormat/>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Überschrift 1 Zchn"/>
    <w:basedOn w:val="9"/>
    <w:link w:val="2"/>
    <w:qFormat/>
    <w:uiPriority w:val="0"/>
    <w:rPr>
      <w:rFonts w:ascii="Times New Roman" w:hAnsi="Times New Roman" w:eastAsia="Times New Roman" w:cs="Times New Roman"/>
      <w:sz w:val="32"/>
      <w:szCs w:val="24"/>
      <w:lang w:eastAsia="ru-RU"/>
    </w:rPr>
  </w:style>
  <w:style w:type="paragraph" w:customStyle="1" w:styleId="15">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6">
    <w:name w:val="List Paragraph"/>
    <w:basedOn w:val="1"/>
    <w:qFormat/>
    <w:uiPriority w:val="0"/>
    <w:pPr>
      <w:ind w:left="720"/>
      <w:contextualSpacing/>
    </w:pPr>
  </w:style>
  <w:style w:type="character" w:customStyle="1" w:styleId="17">
    <w:name w:val="Überschrift 4 Zchn"/>
    <w:basedOn w:val="9"/>
    <w:link w:val="3"/>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8">
    <w:name w:val="Überschrift 7 Zchn"/>
    <w:basedOn w:val="9"/>
    <w:link w:val="4"/>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9">
    <w:name w:val="Textkörper Zchn"/>
    <w:basedOn w:val="9"/>
    <w:link w:val="6"/>
    <w:qFormat/>
    <w:uiPriority w:val="0"/>
    <w:rPr>
      <w:rFonts w:ascii="Times New Roman" w:hAnsi="Times New Roman" w:eastAsia="Times New Roman" w:cs="Times New Roman"/>
      <w:sz w:val="28"/>
      <w:szCs w:val="24"/>
      <w:lang w:val="ru-RU" w:eastAsia="ru-RU"/>
    </w:rPr>
  </w:style>
  <w:style w:type="character" w:customStyle="1" w:styleId="20">
    <w:name w:val="Sprechblasentext Zchn"/>
    <w:basedOn w:val="9"/>
    <w:link w:val="5"/>
    <w:semiHidden/>
    <w:qFormat/>
    <w:uiPriority w:val="99"/>
    <w:rPr>
      <w:rFonts w:ascii="Tahoma" w:hAnsi="Tahoma" w:cs="Tahoma"/>
      <w:sz w:val="16"/>
      <w:szCs w:val="16"/>
    </w:rPr>
  </w:style>
  <w:style w:type="paragraph" w:customStyle="1" w:styleId="2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2">
    <w:name w:val="value"/>
    <w:basedOn w:val="9"/>
    <w:qFormat/>
    <w:uiPriority w:val="0"/>
  </w:style>
  <w:style w:type="character" w:customStyle="1" w:styleId="23">
    <w:name w:val="normaltextrun"/>
    <w:basedOn w:val="9"/>
    <w:qFormat/>
    <w:uiPriority w:val="0"/>
  </w:style>
  <w:style w:type="character" w:customStyle="1" w:styleId="24">
    <w:name w:val="Kopfzeile Zchn"/>
    <w:basedOn w:val="9"/>
    <w:link w:val="7"/>
    <w:qFormat/>
    <w:uiPriority w:val="0"/>
    <w:rPr>
      <w:rFonts w:ascii="Times New Roman" w:hAnsi="Times New Roman" w:eastAsia="Times New Roman" w:cs="Times New Roman"/>
      <w:sz w:val="24"/>
      <w:szCs w:val="24"/>
      <w:lang w:eastAsia="ar-SA"/>
    </w:rPr>
  </w:style>
  <w:style w:type="character" w:customStyle="1" w:styleId="25">
    <w:name w:val="st"/>
    <w:basedOn w:val="9"/>
    <w:qFormat/>
    <w:uiPriority w:val="0"/>
  </w:style>
  <w:style w:type="character" w:customStyle="1" w:styleId="26">
    <w:name w:val="rvts6"/>
    <w:qFormat/>
    <w:uiPriority w:val="0"/>
    <w:rPr>
      <w:rFonts w:hint="default" w:ascii="Times New Roman" w:hAnsi="Times New Roman" w:cs="Times New Roman"/>
      <w:spacing w:val="-15"/>
      <w:sz w:val="28"/>
      <w:szCs w:val="28"/>
    </w:rPr>
  </w:style>
  <w:style w:type="paragraph" w:customStyle="1" w:styleId="27">
    <w:name w:val="rvps3"/>
    <w:basedOn w:val="1"/>
    <w:qFormat/>
    <w:uiPriority w:val="0"/>
    <w:pPr>
      <w:suppressAutoHyphens/>
      <w:spacing w:after="0" w:line="240" w:lineRule="auto"/>
      <w:jc w:val="both"/>
    </w:pPr>
    <w:rPr>
      <w:rFonts w:ascii="Times New Roman" w:hAnsi="Times New Roman" w:eastAsia="Times New Roman" w:cs="Times New Roman"/>
      <w:sz w:val="24"/>
      <w:szCs w:val="24"/>
      <w:lang w:eastAsia="ar-SA"/>
    </w:rPr>
  </w:style>
  <w:style w:type="paragraph" w:customStyle="1" w:styleId="28">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29">
    <w:name w:val="eop"/>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10681</Words>
  <Characters>6089</Characters>
  <Lines>50</Lines>
  <Paragraphs>33</Paragraphs>
  <ScaleCrop>false</ScaleCrop>
  <LinksUpToDate>false</LinksUpToDate>
  <CharactersWithSpaces>16737</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2021-01-27T15:24:00Z</dcterms:created>
  <dc:creator>Taras Pyts</dc:creator>
  <cp:lastModifiedBy>olgadenys</cp:lastModifiedBy>
  <cp:lastPrinted>2020-01-27T13:28:00Z</cp:lastPrinted>
  <dcterms:modified xsi:type="dcterms:W3CDTF">2021-02-18T17:47:14Z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