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r>
        <w:rPr>
          <w:rFonts w:ascii="Times New Roman" w:hAnsi="Times New Roman" w:cs="Times New Roman"/>
          <w:b/>
          <w:sz w:val="28"/>
          <w:szCs w:val="28"/>
        </w:rPr>
        <w:t>ВСТУП ДО СПЕЦІАЛЬНОСТІ</w:t>
      </w:r>
    </w:p>
    <w:p>
      <w:pPr>
        <w:rPr>
          <w:rFonts w:ascii="Times New Roman" w:hAnsi="Times New Roman" w:cs="Times New Roman"/>
          <w:b/>
          <w:sz w:val="28"/>
          <w:szCs w:val="28"/>
        </w:rPr>
      </w:pPr>
      <w:r>
        <w:rPr>
          <w:rFonts w:ascii="Times New Roman" w:hAnsi="Times New Roman" w:cs="Times New Roman"/>
          <w:b/>
          <w:sz w:val="28"/>
          <w:szCs w:val="28"/>
        </w:rPr>
        <w:t xml:space="preserve">Освітній рівень </w:t>
      </w:r>
      <w:r>
        <w:rPr>
          <w:rFonts w:ascii="Times New Roman" w:hAnsi="Times New Roman" w:cs="Times New Roman"/>
          <w:b/>
          <w:sz w:val="28"/>
          <w:szCs w:val="28"/>
        </w:rPr>
        <w:tab/>
      </w:r>
      <w:r>
        <w:rPr>
          <w:rFonts w:ascii="Times New Roman" w:hAnsi="Times New Roman" w:cs="Times New Roman"/>
          <w:b/>
          <w:sz w:val="28"/>
          <w:szCs w:val="28"/>
        </w:rPr>
        <w:t>бакалавр</w:t>
      </w:r>
    </w:p>
    <w:p>
      <w:pPr>
        <w:tabs>
          <w:tab w:val="left" w:pos="2127"/>
        </w:tabs>
        <w:rPr>
          <w:rFonts w:ascii="Times New Roman" w:hAnsi="Times New Roman" w:cs="Times New Roman"/>
          <w:b/>
          <w:sz w:val="28"/>
          <w:szCs w:val="28"/>
        </w:rPr>
      </w:pPr>
      <w:r>
        <w:rPr>
          <w:rFonts w:ascii="Times New Roman" w:hAnsi="Times New Roman" w:cs="Times New Roman"/>
          <w:b/>
          <w:sz w:val="28"/>
          <w:szCs w:val="28"/>
        </w:rPr>
        <w:t xml:space="preserve">Галузь знань </w:t>
      </w:r>
      <w:r>
        <w:rPr>
          <w:rFonts w:ascii="Times New Roman" w:hAnsi="Times New Roman" w:cs="Times New Roman"/>
          <w:b/>
          <w:sz w:val="28"/>
          <w:szCs w:val="28"/>
        </w:rPr>
        <w:tab/>
      </w:r>
      <w:r>
        <w:rPr>
          <w:rFonts w:ascii="Times New Roman" w:hAnsi="Times New Roman" w:cs="Times New Roman"/>
          <w:b/>
          <w:sz w:val="28"/>
          <w:szCs w:val="28"/>
        </w:rPr>
        <w:t>03 Гуманітарні науки</w:t>
      </w:r>
    </w:p>
    <w:p>
      <w:pPr>
        <w:rPr>
          <w:rFonts w:ascii="Times New Roman" w:hAnsi="Times New Roman" w:cs="Times New Roman"/>
          <w:b/>
          <w:sz w:val="28"/>
          <w:szCs w:val="28"/>
        </w:rPr>
      </w:pPr>
      <w:r>
        <w:rPr>
          <w:rFonts w:ascii="Times New Roman" w:hAnsi="Times New Roman" w:cs="Times New Roman"/>
          <w:b/>
          <w:sz w:val="28"/>
          <w:szCs w:val="28"/>
        </w:rPr>
        <w:t xml:space="preserve">Спеціальність </w:t>
      </w:r>
      <w:r>
        <w:rPr>
          <w:rFonts w:ascii="Times New Roman" w:hAnsi="Times New Roman" w:cs="Times New Roman"/>
          <w:b/>
          <w:sz w:val="28"/>
          <w:szCs w:val="28"/>
        </w:rPr>
        <w:tab/>
      </w:r>
      <w:r>
        <w:rPr>
          <w:rFonts w:ascii="Times New Roman" w:hAnsi="Times New Roman" w:cs="Times New Roman"/>
          <w:b/>
          <w:sz w:val="28"/>
          <w:szCs w:val="28"/>
        </w:rPr>
        <w:t>035 Філологія</w:t>
      </w:r>
    </w:p>
    <w:p>
      <w:pPr>
        <w:ind w:left="2127" w:hanging="2127"/>
        <w:rPr>
          <w:rFonts w:ascii="Times New Roman" w:hAnsi="Times New Roman" w:cs="Times New Roman"/>
          <w:b/>
          <w:sz w:val="28"/>
          <w:szCs w:val="28"/>
        </w:rPr>
      </w:pPr>
      <w:r>
        <w:rPr>
          <w:rFonts w:ascii="Times New Roman" w:hAnsi="Times New Roman" w:cs="Times New Roman"/>
          <w:b/>
          <w:sz w:val="28"/>
          <w:szCs w:val="28"/>
        </w:rPr>
        <w:t xml:space="preserve">Спеціалізація </w:t>
      </w:r>
      <w:r>
        <w:rPr>
          <w:rFonts w:ascii="Times New Roman" w:hAnsi="Times New Roman" w:cs="Times New Roman"/>
          <w:b/>
          <w:sz w:val="28"/>
          <w:szCs w:val="28"/>
        </w:rPr>
        <w:tab/>
      </w:r>
      <w:r>
        <w:rPr>
          <w:rFonts w:ascii="Times New Roman" w:hAnsi="Times New Roman" w:cs="Times New Roman"/>
          <w:b/>
          <w:sz w:val="28"/>
          <w:szCs w:val="28"/>
        </w:rPr>
        <w:t xml:space="preserve">035.043 германські мови та літератури (переклад включно), перша – німецька </w:t>
      </w:r>
    </w:p>
    <w:p>
      <w:pPr>
        <w:ind w:left="2127" w:hanging="2127"/>
        <w:rPr>
          <w:rFonts w:ascii="Times New Roman" w:hAnsi="Times New Roman" w:cs="Times New Roman"/>
          <w:b/>
          <w:sz w:val="28"/>
          <w:szCs w:val="28"/>
        </w:rPr>
      </w:pPr>
      <w:r>
        <w:rPr>
          <w:rFonts w:ascii="Times New Roman" w:hAnsi="Times New Roman" w:cs="Times New Roman"/>
          <w:b/>
          <w:sz w:val="28"/>
          <w:szCs w:val="28"/>
        </w:rPr>
        <w:t>Освітня програма: «Переклад двох іноземних мов та міжкультурна комунікація»</w:t>
      </w:r>
    </w:p>
    <w:p>
      <w:pPr>
        <w:jc w:val="center"/>
        <w:rPr>
          <w:rFonts w:ascii="Times New Roman" w:hAnsi="Times New Roman" w:cs="Times New Roman"/>
          <w:b/>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Львів – 2020 рік</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«Вступ до спеціальності»</w:t>
      </w:r>
    </w:p>
    <w:p>
      <w:pPr>
        <w:jc w:val="center"/>
        <w:rPr>
          <w:b/>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Вступ до спеціальності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 Германські мови та літератури (переклад включно), перша - німецька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Освітня програма </w:t>
            </w:r>
            <w:r>
              <w:rPr>
                <w:rFonts w:ascii="Times New Roman" w:hAnsi="Times New Roman" w:cs="Times New Roman"/>
                <w:i/>
                <w:sz w:val="24"/>
                <w:szCs w:val="24"/>
              </w:rPr>
              <w:t>«Переклад двох іноземних мов та міжкультурна комунікація»</w:t>
            </w:r>
          </w:p>
        </w:tc>
      </w:tr>
    </w:tbl>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648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Ляшенко Тетяна Степанівна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tetyana.lyashenko@lnu.edu.ua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https://lingua.lnu.edu.ua/employee/lyashenko-tetyana-stepanivna</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Щопонеділка, 15.00-16.20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6486" w:type="dxa"/>
          </w:tcPr>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5"/>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572" w:type="dxa"/>
          </w:tcPr>
          <w:p>
            <w:pPr>
              <w:spacing w:after="0" w:line="240" w:lineRule="auto"/>
              <w:jc w:val="both"/>
              <w:rPr>
                <w:rFonts w:ascii="Times New Roman" w:hAnsi="Times New Roman" w:cs="Times New Roman"/>
                <w:b/>
                <w:bCs/>
                <w:sz w:val="24"/>
                <w:szCs w:val="24"/>
              </w:rPr>
            </w:pPr>
            <w:r>
              <w:fldChar w:fldCharType="begin"/>
            </w:r>
            <w:r>
              <w:instrText xml:space="preserve"> HYPERLINK "https://lingua.lnu.edu.ua/department/mizhkulturnoji-komunikatsiji-ta-perekladu" \h </w:instrText>
            </w:r>
            <w:r>
              <w:fldChar w:fldCharType="separate"/>
            </w:r>
            <w:r>
              <w:rPr>
                <w:rStyle w:val="13"/>
                <w:rFonts w:ascii="Times New Roman" w:hAnsi="Times New Roman" w:cs="Times New Roman"/>
              </w:rPr>
              <w:t>https://lingua.lnu.edu.ua/department/mizhkulturnoji-komunikatsiji-ta-perekladu</w:t>
            </w:r>
            <w:r>
              <w:rPr>
                <w:rStyle w:val="13"/>
                <w:rFonts w:ascii="Times New Roman" w:hAnsi="Times New Roman" w:cs="Times New Roman"/>
              </w:rPr>
              <w:fldChar w:fldCharType="end"/>
            </w: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572" w:type="dxa"/>
          </w:tcPr>
          <w:p>
            <w:pPr>
              <w:spacing w:after="0" w:line="240" w:lineRule="auto"/>
              <w:ind w:right="317"/>
              <w:jc w:val="both"/>
              <w:rPr>
                <w:rFonts w:ascii="Times New Roman" w:hAnsi="Times New Roman" w:cs="Times New Roman"/>
                <w:b/>
                <w:sz w:val="24"/>
                <w:szCs w:val="24"/>
              </w:rPr>
            </w:pPr>
            <w:r>
              <w:rPr>
                <w:rFonts w:ascii="Times New Roman" w:hAnsi="Times New Roman" w:cs="Times New Roman"/>
                <w:sz w:val="24"/>
                <w:szCs w:val="24"/>
              </w:rPr>
              <w:t>Дисципліна «Вступ до спеціальності» є нормативною дисципліною зі спеціальності 035 Філологія для освітньої програми «Переклад двох іноземних мов та міжкультурна комунікація» ОС «бакалавр», яка викладається у 3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572" w:type="dxa"/>
          </w:tcPr>
          <w:p>
            <w:pPr>
              <w:tabs>
                <w:tab w:val="left" w:pos="284"/>
                <w:tab w:val="left" w:pos="567"/>
              </w:tabs>
              <w:spacing w:after="0" w:line="240" w:lineRule="auto"/>
              <w:ind w:right="317"/>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надати студентам знання щодо основних засад перекладу та перекладацького процесу як особливого виду лінгвістичної і комунікативної діяльності, знання про теорії перекладу, принципи, методи та прийоми його здійснення на практиці, а також практичне оволодіння ними.</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створити концептуальну базу для подальшого набуття студентами практичних умінь та навичок у галузі перекладу;</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ознайомити студентів із головними поняттями, проблематикою, термінологією загальної теорії перекладу, визначити її місце в системі інших наукових дисциплін;</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виділити об’єкт і предмет сучасної теорії перекладу;</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дати загальну характеристику складових процесу перекладу;</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познайомити з головними категоріями теорії перекладу: еквівалентністю та адекватністю;</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сформувати уміння та навички використання прийомів перекладу на різних рівнях еквівалентності;</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сформувати вміння використовувати при перекладі різні типи словників, інформаційних джерел та інтернет-ресурси;</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виробити початкові навички спостереження мовних явищ і наукового аналізу.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572" w:type="dxa"/>
          </w:tcPr>
          <w:p>
            <w:pPr>
              <w:shd w:val="clear" w:color="auto" w:fill="FFFFFF"/>
              <w:spacing w:after="0" w:line="240" w:lineRule="auto"/>
              <w:jc w:val="center"/>
              <w:rPr>
                <w:rFonts w:ascii="Times New Roman" w:hAnsi="Times New Roman" w:eastAsia="Times New Roman" w:cs="Times New Roman"/>
                <w:b/>
                <w:bCs/>
                <w:spacing w:val="-6"/>
                <w:sz w:val="24"/>
                <w:szCs w:val="24"/>
                <w:lang w:eastAsia="ru-RU"/>
              </w:rPr>
            </w:pPr>
            <w:r>
              <w:rPr>
                <w:rFonts w:ascii="Times New Roman" w:hAnsi="Times New Roman" w:eastAsia="Times New Roman" w:cs="Times New Roman"/>
                <w:b/>
                <w:bCs/>
                <w:spacing w:val="-6"/>
                <w:sz w:val="24"/>
                <w:szCs w:val="24"/>
                <w:lang w:eastAsia="ru-RU"/>
              </w:rPr>
              <w:t>Базова</w:t>
            </w:r>
          </w:p>
          <w:p>
            <w:pPr>
              <w:numPr>
                <w:ilvl w:val="0"/>
                <w:numId w:val="1"/>
              </w:numPr>
              <w:spacing w:after="0" w:line="240" w:lineRule="auto"/>
              <w:ind w:left="660" w:hanging="345"/>
              <w:contextualSpacing/>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Кияк Т. Р., Науменко А. М., Огуй О. Д. Теорія і практика перекладу німецької мови. – Вінниця: Нова книга, 2006.</w:t>
            </w:r>
          </w:p>
          <w:p>
            <w:pPr>
              <w:numPr>
                <w:ilvl w:val="0"/>
                <w:numId w:val="1"/>
              </w:numPr>
              <w:spacing w:after="0" w:line="240" w:lineRule="auto"/>
              <w:ind w:left="660" w:hanging="345"/>
              <w:contextualSpacing/>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Назаркевич Х.Я. Основи перекладознавства в 2 ч. Ч. 1 – Львів: Видавничий центр ЛНУ імені Івана Франка, 2010.</w:t>
            </w:r>
          </w:p>
          <w:p>
            <w:pPr>
              <w:numPr>
                <w:ilvl w:val="0"/>
                <w:numId w:val="1"/>
              </w:numPr>
              <w:spacing w:after="0" w:line="240" w:lineRule="auto"/>
              <w:ind w:left="660" w:hanging="345"/>
              <w:contextualSpacing/>
              <w:jc w:val="both"/>
              <w:rPr>
                <w:rFonts w:ascii="Times New Roman" w:hAnsi="Times New Roman" w:eastAsia="Times New Roman" w:cs="Times New Roman"/>
                <w:sz w:val="24"/>
                <w:szCs w:val="24"/>
                <w:lang w:val="de-DE" w:eastAsia="ru-RU"/>
              </w:rPr>
            </w:pPr>
            <w:r>
              <w:rPr>
                <w:rFonts w:ascii="Times New Roman" w:hAnsi="Times New Roman" w:eastAsia="Times New Roman" w:cs="Times New Roman"/>
                <w:sz w:val="24"/>
                <w:szCs w:val="24"/>
                <w:lang w:val="de-DE" w:eastAsia="ru-RU"/>
              </w:rPr>
              <w:t>Kautz, Ulrich</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de-DE" w:eastAsia="ru-RU"/>
              </w:rPr>
              <w:t xml:space="preserve"> Handbuch Didaktik des Übersetzens und Dolmetschens. München: Iudicium und Goethe Institut</w:t>
            </w:r>
            <w:r>
              <w:rPr>
                <w:rFonts w:ascii="Times New Roman" w:hAnsi="Times New Roman" w:eastAsia="Times New Roman" w:cs="Times New Roman"/>
                <w:sz w:val="24"/>
                <w:szCs w:val="24"/>
                <w:lang w:eastAsia="ru-RU"/>
              </w:rPr>
              <w:t>, 2002.</w:t>
            </w:r>
          </w:p>
          <w:p>
            <w:pPr>
              <w:numPr>
                <w:ilvl w:val="0"/>
                <w:numId w:val="1"/>
              </w:numPr>
              <w:spacing w:after="0" w:line="240" w:lineRule="auto"/>
              <w:ind w:left="660" w:hanging="345"/>
              <w:contextualSpacing/>
              <w:jc w:val="both"/>
              <w:rPr>
                <w:rFonts w:ascii="Times New Roman" w:hAnsi="Times New Roman" w:eastAsia="Times New Roman" w:cs="Times New Roman"/>
                <w:sz w:val="24"/>
                <w:szCs w:val="24"/>
                <w:lang w:val="de-DE" w:eastAsia="ru-RU"/>
              </w:rPr>
            </w:pPr>
            <w:r>
              <w:rPr>
                <w:rFonts w:ascii="Times New Roman" w:hAnsi="Times New Roman" w:eastAsia="Times New Roman" w:cs="Times New Roman"/>
                <w:color w:val="000000"/>
                <w:spacing w:val="-2"/>
                <w:w w:val="101"/>
                <w:sz w:val="24"/>
                <w:szCs w:val="24"/>
                <w:lang w:val="de-DE" w:eastAsia="ru-RU"/>
              </w:rPr>
              <w:t xml:space="preserve">Koller W. Einführung in die Übersetzungswissenschaft. 8., neubearbeitete Auflage.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pacing w:val="-2"/>
                <w:w w:val="101"/>
                <w:sz w:val="24"/>
                <w:szCs w:val="24"/>
                <w:lang w:val="de-DE" w:eastAsia="ru-RU"/>
              </w:rPr>
              <w:t xml:space="preserve">Tübingen und Basel: </w:t>
            </w:r>
            <w:r>
              <w:rPr>
                <w:rFonts w:ascii="Times New Roman" w:hAnsi="Times New Roman" w:eastAsia="Times New Roman" w:cs="Times New Roman"/>
                <w:color w:val="000000"/>
                <w:spacing w:val="-5"/>
                <w:w w:val="101"/>
                <w:sz w:val="24"/>
                <w:szCs w:val="24"/>
                <w:lang w:val="de-DE" w:eastAsia="ru-RU"/>
              </w:rPr>
              <w:t xml:space="preserve">A. Francke, 2011. </w:t>
            </w:r>
          </w:p>
          <w:p>
            <w:pPr>
              <w:numPr>
                <w:ilvl w:val="0"/>
                <w:numId w:val="1"/>
              </w:numPr>
              <w:spacing w:after="0" w:line="240" w:lineRule="auto"/>
              <w:ind w:left="660" w:hanging="345"/>
              <w:contextualSpacing/>
              <w:jc w:val="both"/>
              <w:rPr>
                <w:rFonts w:ascii="Times New Roman" w:hAnsi="Times New Roman" w:eastAsia="Times New Roman" w:cs="Times New Roman"/>
                <w:sz w:val="24"/>
                <w:szCs w:val="24"/>
                <w:lang w:val="de-DE" w:eastAsia="ru-RU"/>
              </w:rPr>
            </w:pPr>
            <w:r>
              <w:rPr>
                <w:rFonts w:ascii="Times New Roman" w:hAnsi="Times New Roman" w:eastAsia="Times New Roman" w:cs="Times New Roman"/>
                <w:color w:val="000000"/>
                <w:w w:val="101"/>
                <w:sz w:val="24"/>
                <w:szCs w:val="24"/>
                <w:lang w:val="de-DE" w:eastAsia="ru-RU"/>
              </w:rPr>
              <w:t>Nord C</w:t>
            </w:r>
            <w:r>
              <w:rPr>
                <w:rFonts w:ascii="Times New Roman" w:hAnsi="Times New Roman" w:eastAsia="Times New Roman" w:cs="Times New Roman"/>
                <w:i/>
                <w:color w:val="000000"/>
                <w:w w:val="101"/>
                <w:sz w:val="24"/>
                <w:szCs w:val="24"/>
                <w:lang w:val="de-DE" w:eastAsia="ru-RU"/>
              </w:rPr>
              <w:t>.</w:t>
            </w:r>
            <w:r>
              <w:rPr>
                <w:rFonts w:ascii="Times New Roman" w:hAnsi="Times New Roman" w:eastAsia="Times New Roman" w:cs="Times New Roman"/>
                <w:color w:val="000000"/>
                <w:w w:val="101"/>
                <w:sz w:val="24"/>
                <w:szCs w:val="24"/>
                <w:lang w:val="de-DE" w:eastAsia="ru-RU"/>
              </w:rPr>
              <w:t xml:space="preserve"> Textanalyse und Übersetzen. Theoretische Grundlagen, Methode und </w:t>
            </w:r>
            <w:r>
              <w:rPr>
                <w:rFonts w:ascii="Times New Roman" w:hAnsi="Times New Roman" w:eastAsia="Times New Roman" w:cs="Times New Roman"/>
                <w:color w:val="000000"/>
                <w:spacing w:val="-3"/>
                <w:w w:val="101"/>
                <w:sz w:val="24"/>
                <w:szCs w:val="24"/>
                <w:lang w:val="de-DE" w:eastAsia="ru-RU"/>
              </w:rPr>
              <w:t xml:space="preserve">didaktische Anwendung einer übersetzungsrelevanten Textanalyse.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pacing w:val="-3"/>
                <w:w w:val="101"/>
                <w:sz w:val="24"/>
                <w:szCs w:val="24"/>
                <w:lang w:val="de-DE" w:eastAsia="ru-RU"/>
              </w:rPr>
              <w:t xml:space="preserve">Heidelberg: </w:t>
            </w:r>
            <w:r>
              <w:rPr>
                <w:rFonts w:ascii="Times New Roman" w:hAnsi="Times New Roman" w:eastAsia="Times New Roman" w:cs="Times New Roman"/>
                <w:color w:val="000000"/>
                <w:w w:val="101"/>
                <w:sz w:val="24"/>
                <w:szCs w:val="24"/>
                <w:lang w:val="de-DE" w:eastAsia="ru-RU"/>
              </w:rPr>
              <w:t xml:space="preserve">Groos, 1995. </w:t>
            </w:r>
          </w:p>
          <w:p>
            <w:pPr>
              <w:spacing w:after="0" w:line="240" w:lineRule="auto"/>
              <w:rPr>
                <w:rFonts w:ascii="Times New Roman" w:hAnsi="Times New Roman" w:eastAsia="Times New Roman" w:cs="Times New Roman"/>
                <w:b/>
                <w:bCs/>
                <w:spacing w:val="-6"/>
                <w:sz w:val="24"/>
                <w:szCs w:val="24"/>
                <w:lang w:eastAsia="ru-RU"/>
              </w:rPr>
            </w:pPr>
            <w:r>
              <w:rPr>
                <w:rFonts w:ascii="Times New Roman" w:hAnsi="Times New Roman" w:eastAsia="Times New Roman" w:cs="Times New Roman"/>
                <w:b/>
                <w:bCs/>
                <w:spacing w:val="-6"/>
                <w:sz w:val="24"/>
                <w:szCs w:val="24"/>
                <w:lang w:eastAsia="ru-RU"/>
              </w:rPr>
              <w:br w:type="page"/>
            </w:r>
          </w:p>
          <w:p>
            <w:pPr>
              <w:shd w:val="clear" w:color="auto" w:fill="FFFFFF"/>
              <w:spacing w:after="0" w:line="240" w:lineRule="auto"/>
              <w:jc w:val="center"/>
              <w:rPr>
                <w:rFonts w:ascii="Times New Roman" w:hAnsi="Times New Roman" w:eastAsia="Times New Roman" w:cs="Times New Roman"/>
                <w:b/>
                <w:bCs/>
                <w:spacing w:val="-6"/>
                <w:sz w:val="24"/>
                <w:szCs w:val="24"/>
                <w:lang w:eastAsia="ru-RU"/>
              </w:rPr>
            </w:pPr>
            <w:r>
              <w:rPr>
                <w:rFonts w:ascii="Times New Roman" w:hAnsi="Times New Roman" w:eastAsia="Times New Roman" w:cs="Times New Roman"/>
                <w:b/>
                <w:bCs/>
                <w:spacing w:val="-6"/>
                <w:sz w:val="24"/>
                <w:szCs w:val="24"/>
                <w:lang w:eastAsia="ru-RU"/>
              </w:rPr>
              <w:t>Додаткова</w:t>
            </w:r>
          </w:p>
          <w:p>
            <w:pPr>
              <w:widowControl w:val="0"/>
              <w:numPr>
                <w:ilvl w:val="0"/>
                <w:numId w:val="2"/>
              </w:numPr>
              <w:autoSpaceDE w:val="0"/>
              <w:autoSpaceDN w:val="0"/>
              <w:adjustRightIn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Коптілов В. Теорія і практика перекладу. Навч.посібник. — К.: Юніверс, 2002. </w:t>
            </w:r>
          </w:p>
          <w:p>
            <w:pPr>
              <w:widowControl w:val="0"/>
              <w:numPr>
                <w:ilvl w:val="0"/>
                <w:numId w:val="2"/>
              </w:numPr>
              <w:autoSpaceDE w:val="0"/>
              <w:autoSpaceDN w:val="0"/>
              <w:adjustRightIn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Корунець І. В. Вступ до перекладознавства. – Вінниця: Нова книга, 2008. </w:t>
            </w:r>
          </w:p>
          <w:p>
            <w:pPr>
              <w:numPr>
                <w:ilvl w:val="0"/>
                <w:numId w:val="2"/>
              </w:numPr>
              <w:spacing w:after="0" w:line="240" w:lineRule="auto"/>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Нямцу А. С., Гураль М. І. Типологія перекладу. Навчальний посібник. – Чернівці, Рута, 2008. </w:t>
            </w:r>
          </w:p>
          <w:p>
            <w:pPr>
              <w:widowControl w:val="0"/>
              <w:tabs>
                <w:tab w:val="left" w:pos="993"/>
              </w:tabs>
              <w:autoSpaceDE w:val="0"/>
              <w:autoSpaceDN w:val="0"/>
              <w:adjustRightInd w:val="0"/>
              <w:spacing w:after="0" w:line="240" w:lineRule="auto"/>
              <w:contextualSpacing/>
              <w:jc w:val="both"/>
              <w:rPr>
                <w:rFonts w:ascii="Times New Roman" w:hAnsi="Times New Roman" w:eastAsia="Times New Roman" w:cs="Times New Roman"/>
                <w:sz w:val="24"/>
                <w:szCs w:val="24"/>
                <w:lang w:val="ru-RU" w:eastAsia="ru-RU"/>
              </w:rPr>
            </w:pPr>
          </w:p>
          <w:p>
            <w:pPr>
              <w:shd w:val="clear" w:color="auto" w:fill="FFFFFF"/>
              <w:tabs>
                <w:tab w:val="left" w:pos="365"/>
              </w:tabs>
              <w:spacing w:before="14" w:after="0" w:line="226" w:lineRule="exact"/>
              <w:jc w:val="center"/>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eastAsia="ru-RU"/>
              </w:rPr>
              <w:t>Інформаційні ресурси</w:t>
            </w:r>
            <w:r>
              <w:rPr>
                <w:rFonts w:ascii="Times New Roman" w:hAnsi="Times New Roman" w:eastAsia="Times New Roman" w:cs="Times New Roman"/>
                <w:b/>
                <w:sz w:val="24"/>
                <w:szCs w:val="24"/>
                <w:lang w:val="ru-RU" w:eastAsia="ru-RU"/>
              </w:rPr>
              <w:br w:type="textWrapping"/>
            </w:r>
          </w:p>
          <w:p>
            <w:pPr>
              <w:numPr>
                <w:ilvl w:val="0"/>
                <w:numId w:val="3"/>
              </w:numPr>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val="de-DE" w:eastAsia="ru-RU"/>
              </w:rPr>
              <w:t xml:space="preserve">Prunč, E. </w:t>
            </w:r>
            <w:r>
              <w:rPr>
                <w:rFonts w:ascii="Times New Roman" w:hAnsi="Times New Roman" w:eastAsia="Times New Roman" w:cs="Times New Roman"/>
                <w:bCs/>
                <w:sz w:val="24"/>
                <w:szCs w:val="24"/>
                <w:lang w:eastAsia="ru-RU"/>
              </w:rPr>
              <w:t>Einführung in die Translationswissenschaft. Bd.1 Orientierungsrahmen. 2., erw. und verb. Aufl. ITAT, Graz</w:t>
            </w:r>
            <w:r>
              <w:rPr>
                <w:rFonts w:ascii="Times New Roman" w:hAnsi="Times New Roman" w:eastAsia="Times New Roman" w:cs="Times New Roman"/>
                <w:bCs/>
                <w:sz w:val="24"/>
                <w:szCs w:val="24"/>
                <w:lang w:val="de-DE" w:eastAsia="ru-RU"/>
              </w:rPr>
              <w:t>. 2002.</w:t>
            </w:r>
          </w:p>
          <w:p>
            <w:pPr>
              <w:spacing w:after="0" w:line="240" w:lineRule="auto"/>
              <w:ind w:left="720"/>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https://online.uni-graz.at/kfu_online/wbFPCompsCallBacks.cbExecuteDownload?pDocStoreNr=70888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(3), 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години аудиторних занять, з них 20 годин лекцій, 12 годин практичних занять,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572"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p>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знати</w:t>
            </w:r>
            <w:r>
              <w:rPr>
                <w:rFonts w:ascii="Times New Roman" w:hAnsi="Times New Roman" w:cs="Times New Roman"/>
                <w:sz w:val="24"/>
              </w:rPr>
              <w:t>:</w:t>
            </w:r>
          </w:p>
          <w:p>
            <w:pPr>
              <w:pStyle w:val="18"/>
              <w:numPr>
                <w:ilvl w:val="0"/>
                <w:numId w:val="4"/>
              </w:numPr>
              <w:spacing w:after="0" w:line="240" w:lineRule="auto"/>
              <w:ind w:left="518" w:hanging="344"/>
              <w:jc w:val="both"/>
              <w:rPr>
                <w:rFonts w:ascii="Times New Roman" w:hAnsi="Times New Roman" w:cs="Times New Roman"/>
                <w:sz w:val="24"/>
              </w:rPr>
            </w:pPr>
            <w:r>
              <w:rPr>
                <w:rFonts w:ascii="Times New Roman" w:hAnsi="Times New Roman" w:cs="Times New Roman"/>
                <w:sz w:val="24"/>
              </w:rPr>
              <w:t>класифікацію видів і типів перекладу;</w:t>
            </w:r>
          </w:p>
          <w:p>
            <w:pPr>
              <w:pStyle w:val="18"/>
              <w:numPr>
                <w:ilvl w:val="0"/>
                <w:numId w:val="4"/>
              </w:numPr>
              <w:spacing w:after="0" w:line="240" w:lineRule="auto"/>
              <w:ind w:left="518" w:hanging="344"/>
              <w:jc w:val="both"/>
              <w:rPr>
                <w:rFonts w:ascii="Times New Roman" w:hAnsi="Times New Roman" w:cs="Times New Roman"/>
                <w:sz w:val="24"/>
              </w:rPr>
            </w:pPr>
            <w:r>
              <w:rPr>
                <w:rFonts w:ascii="Times New Roman" w:hAnsi="Times New Roman" w:cs="Times New Roman"/>
                <w:sz w:val="24"/>
              </w:rPr>
              <w:t>етапи процесу перекладу;</w:t>
            </w:r>
          </w:p>
          <w:p>
            <w:pPr>
              <w:pStyle w:val="18"/>
              <w:numPr>
                <w:ilvl w:val="0"/>
                <w:numId w:val="4"/>
              </w:numPr>
              <w:spacing w:after="0" w:line="240" w:lineRule="auto"/>
              <w:ind w:left="518" w:hanging="344"/>
              <w:jc w:val="both"/>
              <w:rPr>
                <w:rFonts w:ascii="Times New Roman" w:hAnsi="Times New Roman" w:cs="Times New Roman"/>
                <w:sz w:val="24"/>
              </w:rPr>
            </w:pPr>
            <w:r>
              <w:rPr>
                <w:rFonts w:ascii="Times New Roman" w:hAnsi="Times New Roman" w:cs="Times New Roman"/>
                <w:sz w:val="24"/>
              </w:rPr>
              <w:t>фактори, що впливають на його здійснення (функціонально-стилістичні та жанрові особливості тексту оригіналу, характер учасників процесу перекладу, умови його здійснення);</w:t>
            </w:r>
          </w:p>
          <w:p>
            <w:pPr>
              <w:pStyle w:val="18"/>
              <w:numPr>
                <w:ilvl w:val="0"/>
                <w:numId w:val="4"/>
              </w:numPr>
              <w:spacing w:after="0" w:line="240" w:lineRule="auto"/>
              <w:ind w:left="518" w:hanging="344"/>
              <w:jc w:val="both"/>
              <w:rPr>
                <w:rFonts w:ascii="Times New Roman" w:hAnsi="Times New Roman" w:cs="Times New Roman"/>
                <w:sz w:val="24"/>
              </w:rPr>
            </w:pPr>
            <w:r>
              <w:rPr>
                <w:rFonts w:ascii="Times New Roman" w:hAnsi="Times New Roman" w:cs="Times New Roman"/>
                <w:sz w:val="24"/>
              </w:rPr>
              <w:t>головні відмінності між усним та письмовим перекладом;</w:t>
            </w:r>
          </w:p>
          <w:p>
            <w:pPr>
              <w:pStyle w:val="18"/>
              <w:numPr>
                <w:ilvl w:val="0"/>
                <w:numId w:val="4"/>
              </w:numPr>
              <w:spacing w:after="0" w:line="240" w:lineRule="auto"/>
              <w:ind w:left="518" w:hanging="344"/>
              <w:jc w:val="both"/>
              <w:rPr>
                <w:rFonts w:ascii="Times New Roman" w:hAnsi="Times New Roman" w:cs="Times New Roman"/>
                <w:sz w:val="24"/>
              </w:rPr>
            </w:pPr>
            <w:r>
              <w:rPr>
                <w:rFonts w:ascii="Times New Roman" w:hAnsi="Times New Roman" w:cs="Times New Roman"/>
                <w:sz w:val="24"/>
              </w:rPr>
              <w:t>вимоги до перекладача під час перекладу усних та письмових матеріалів;</w:t>
            </w:r>
          </w:p>
          <w:p>
            <w:pPr>
              <w:pStyle w:val="18"/>
              <w:numPr>
                <w:ilvl w:val="0"/>
                <w:numId w:val="4"/>
              </w:numPr>
              <w:spacing w:after="0" w:line="240" w:lineRule="auto"/>
              <w:ind w:left="518" w:hanging="344"/>
              <w:jc w:val="both"/>
              <w:rPr>
                <w:rFonts w:ascii="Times New Roman" w:hAnsi="Times New Roman" w:cs="Times New Roman"/>
                <w:sz w:val="24"/>
              </w:rPr>
            </w:pPr>
            <w:r>
              <w:rPr>
                <w:rFonts w:ascii="Times New Roman" w:hAnsi="Times New Roman" w:cs="Times New Roman"/>
                <w:sz w:val="24"/>
              </w:rPr>
              <w:t>особливості односторонньої і двосторонньої моделі перекладу;</w:t>
            </w:r>
          </w:p>
          <w:p>
            <w:pPr>
              <w:pStyle w:val="18"/>
              <w:numPr>
                <w:ilvl w:val="0"/>
                <w:numId w:val="4"/>
              </w:numPr>
              <w:spacing w:after="0" w:line="240" w:lineRule="auto"/>
              <w:ind w:left="518" w:hanging="344"/>
              <w:jc w:val="both"/>
              <w:rPr>
                <w:rFonts w:ascii="Times New Roman" w:hAnsi="Times New Roman" w:cs="Times New Roman"/>
                <w:sz w:val="24"/>
                <w:szCs w:val="24"/>
              </w:rPr>
            </w:pPr>
            <w:r>
              <w:rPr>
                <w:rFonts w:ascii="Times New Roman" w:hAnsi="Times New Roman" w:cs="Times New Roman"/>
                <w:sz w:val="24"/>
              </w:rPr>
              <w:t>класифікацію видів еквівалентності.</w:t>
            </w:r>
          </w:p>
          <w:p>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вміти</w:t>
            </w:r>
            <w:r>
              <w:rPr>
                <w:rFonts w:ascii="Times New Roman" w:hAnsi="Times New Roman" w:cs="Times New Roman"/>
                <w:sz w:val="24"/>
                <w:szCs w:val="24"/>
              </w:rPr>
              <w:t>:</w:t>
            </w:r>
          </w:p>
          <w:p>
            <w:pPr>
              <w:pStyle w:val="18"/>
              <w:numPr>
                <w:ilvl w:val="0"/>
                <w:numId w:val="4"/>
              </w:numPr>
              <w:spacing w:after="0" w:line="240" w:lineRule="auto"/>
              <w:ind w:left="518"/>
              <w:jc w:val="both"/>
              <w:rPr>
                <w:rFonts w:ascii="Times New Roman" w:hAnsi="Times New Roman" w:cs="Times New Roman"/>
                <w:sz w:val="24"/>
                <w:szCs w:val="24"/>
              </w:rPr>
            </w:pPr>
            <w:r>
              <w:rPr>
                <w:rFonts w:ascii="Times New Roman" w:hAnsi="Times New Roman" w:cs="Times New Roman"/>
                <w:sz w:val="24"/>
                <w:szCs w:val="24"/>
              </w:rPr>
              <w:t>давати характеристику головним науковим і теоретичним школам перекладознавства, знати їхніх видатних представників, здатність розуміти головні терміни, процеси та закономірності сучасних теорій перекладу;</w:t>
            </w:r>
          </w:p>
          <w:p>
            <w:pPr>
              <w:pStyle w:val="18"/>
              <w:numPr>
                <w:ilvl w:val="0"/>
                <w:numId w:val="4"/>
              </w:numPr>
              <w:spacing w:after="0" w:line="240" w:lineRule="auto"/>
              <w:ind w:left="518"/>
              <w:jc w:val="both"/>
              <w:rPr>
                <w:rFonts w:ascii="Times New Roman" w:hAnsi="Times New Roman" w:cs="Times New Roman"/>
                <w:sz w:val="24"/>
                <w:szCs w:val="24"/>
              </w:rPr>
            </w:pPr>
            <w:r>
              <w:rPr>
                <w:rFonts w:ascii="Times New Roman" w:hAnsi="Times New Roman" w:cs="Times New Roman"/>
                <w:sz w:val="24"/>
                <w:szCs w:val="24"/>
              </w:rPr>
              <w:t>визначати та обирати головні перекладацькі стратегії та тактики для побудови граматично коректного, змістовно та стилістично адекватного повідомлення або тексту;</w:t>
            </w:r>
          </w:p>
          <w:p>
            <w:pPr>
              <w:pStyle w:val="18"/>
              <w:numPr>
                <w:ilvl w:val="0"/>
                <w:numId w:val="4"/>
              </w:numPr>
              <w:spacing w:after="0" w:line="240" w:lineRule="auto"/>
              <w:ind w:left="518"/>
              <w:jc w:val="both"/>
              <w:rPr>
                <w:rFonts w:ascii="Times New Roman" w:hAnsi="Times New Roman" w:cs="Times New Roman"/>
                <w:sz w:val="24"/>
                <w:szCs w:val="24"/>
              </w:rPr>
            </w:pPr>
            <w:r>
              <w:rPr>
                <w:rFonts w:ascii="Times New Roman" w:hAnsi="Times New Roman" w:cs="Times New Roman"/>
                <w:sz w:val="24"/>
                <w:szCs w:val="24"/>
              </w:rPr>
              <w:t>адекватно здійснювати вибір словника для перекладу текстів різних жанрів</w:t>
            </w:r>
          </w:p>
          <w:p>
            <w:pPr>
              <w:pStyle w:val="18"/>
              <w:numPr>
                <w:ilvl w:val="0"/>
                <w:numId w:val="4"/>
              </w:numPr>
              <w:spacing w:after="0" w:line="240" w:lineRule="auto"/>
              <w:ind w:left="518"/>
              <w:jc w:val="both"/>
              <w:rPr>
                <w:rFonts w:ascii="Times New Roman" w:hAnsi="Times New Roman" w:cs="Times New Roman"/>
                <w:sz w:val="24"/>
                <w:szCs w:val="24"/>
              </w:rPr>
            </w:pPr>
            <w:r>
              <w:rPr>
                <w:rFonts w:ascii="Times New Roman" w:hAnsi="Times New Roman" w:cs="Times New Roman"/>
                <w:sz w:val="24"/>
                <w:szCs w:val="24"/>
              </w:rPr>
              <w:t>розрізняти на практиці види і типи перекладу, функціональні типи тексту з притаманними їм особливостями будови та мовного оформлення;</w:t>
            </w:r>
          </w:p>
          <w:p>
            <w:pPr>
              <w:pStyle w:val="18"/>
              <w:numPr>
                <w:ilvl w:val="0"/>
                <w:numId w:val="4"/>
              </w:numPr>
              <w:spacing w:after="0" w:line="240" w:lineRule="auto"/>
              <w:ind w:left="518"/>
              <w:jc w:val="both"/>
              <w:rPr>
                <w:rFonts w:ascii="Times New Roman" w:hAnsi="Times New Roman" w:cs="Times New Roman"/>
                <w:sz w:val="24"/>
                <w:szCs w:val="24"/>
              </w:rPr>
            </w:pPr>
            <w:r>
              <w:rPr>
                <w:rFonts w:ascii="Times New Roman" w:hAnsi="Times New Roman" w:cs="Times New Roman"/>
                <w:sz w:val="24"/>
                <w:szCs w:val="24"/>
              </w:rPr>
              <w:t>володіти найголовнішими методологічними принципами виконання різних типів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теорія перекладу, типологія перекладів,</w:t>
            </w:r>
            <w:r>
              <w:t xml:space="preserve"> </w:t>
            </w:r>
            <w:r>
              <w:rPr>
                <w:rFonts w:ascii="Times New Roman" w:hAnsi="Times New Roman" w:cs="Times New Roman"/>
                <w:sz w:val="24"/>
                <w:szCs w:val="24"/>
              </w:rPr>
              <w:t>процес перекладу,</w:t>
            </w:r>
            <w:r>
              <w:t xml:space="preserve"> </w:t>
            </w:r>
            <w:r>
              <w:rPr>
                <w:rFonts w:ascii="Times New Roman" w:hAnsi="Times New Roman" w:cs="Times New Roman"/>
                <w:sz w:val="24"/>
                <w:szCs w:val="24"/>
              </w:rPr>
              <w:t>еквівалентність, адекватність, типи текстів,</w:t>
            </w:r>
            <w:r>
              <w:t xml:space="preserve"> </w:t>
            </w:r>
            <w:r>
              <w:rPr>
                <w:rFonts w:ascii="Times New Roman" w:hAnsi="Times New Roman" w:cs="Times New Roman"/>
                <w:sz w:val="24"/>
                <w:szCs w:val="24"/>
              </w:rPr>
              <w:t>перекладацькі одиниці,</w:t>
            </w:r>
            <w:r>
              <w:t xml:space="preserve"> </w:t>
            </w:r>
            <w:r>
              <w:rPr>
                <w:rFonts w:ascii="Times New Roman" w:hAnsi="Times New Roman" w:cs="Times New Roman"/>
                <w:sz w:val="24"/>
                <w:szCs w:val="24"/>
              </w:rPr>
              <w:t>стратегії та прийоми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Навчально-методичне забезпечення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Іспит проводиться у формі співбесіди з екзаменатором.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«Вступ до мовознавства», «Перша іноземна мова (німецька мова)».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 (презентація, евристичні бесіди, дискусії, «мозковий штурм», конкурси з практичними завданнями та їх подальше обговорення, використання мультимедійних комп’ютерних програм).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і інтерактивна дошка.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w:t>
            </w:r>
            <w:r>
              <w:t xml:space="preserve"> </w:t>
            </w:r>
            <w:r>
              <w:rPr>
                <w:rFonts w:ascii="Times New Roman" w:hAnsi="Times New Roman" w:cs="Times New Roman"/>
                <w:sz w:val="24"/>
                <w:szCs w:val="24"/>
              </w:rPr>
              <w:t xml:space="preserve">результати поточного модульного контролю та іспит у формі  співбесіди з екзаменатором.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Підсумковий модуль у формі  співбесіди з екзаменатором (макс.50 балів) + результати поточного модульного контролю (макс.50 балів) = 100 балів)</w:t>
            </w:r>
          </w:p>
          <w:p>
            <w:pPr>
              <w:tabs>
                <w:tab w:val="left" w:pos="284"/>
                <w:tab w:val="left" w:pos="567"/>
              </w:tabs>
              <w:spacing w:after="0" w:line="240" w:lineRule="auto"/>
              <w:jc w:val="both"/>
              <w:rPr>
                <w:rFonts w:ascii="Times New Roman" w:hAnsi="Times New Roman" w:cs="Times New Roman"/>
                <w:sz w:val="24"/>
                <w:szCs w:val="24"/>
              </w:rPr>
            </w:pPr>
          </w:p>
          <w:tbl>
            <w:tblPr>
              <w:tblStyle w:val="14"/>
              <w:tblW w:w="7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497"/>
              <w:gridCol w:w="250"/>
              <w:gridCol w:w="248"/>
              <w:gridCol w:w="501"/>
              <w:gridCol w:w="854"/>
              <w:gridCol w:w="498"/>
              <w:gridCol w:w="250"/>
              <w:gridCol w:w="249"/>
              <w:gridCol w:w="500"/>
              <w:gridCol w:w="856"/>
              <w:gridCol w:w="51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jc w:val="right"/>
                    <w:rPr>
                      <w:rFonts w:ascii="Times New Roman" w:hAnsi="Times New Roman" w:cs="Times New Roman"/>
                      <w:b/>
                      <w:sz w:val="16"/>
                      <w:szCs w:val="16"/>
                    </w:rPr>
                  </w:pPr>
                  <w:r>
                    <w:rPr>
                      <w:rFonts w:ascii="Times New Roman" w:hAnsi="Times New Roman" w:cs="Times New Roman"/>
                      <w:b/>
                      <w:smallCaps/>
                      <w:sz w:val="16"/>
                      <w:szCs w:val="16"/>
                    </w:rPr>
                    <w:t>Модулі</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ІІ</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Підсумковий контроль (іспит)</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Сума</w:t>
                  </w: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7"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модуль</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Змістові модулі</w:t>
                  </w:r>
                </w:p>
              </w:tc>
              <w:tc>
                <w:tcPr>
                  <w:tcW w:w="747"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3</w:t>
                  </w:r>
                </w:p>
              </w:tc>
              <w:tc>
                <w:tcPr>
                  <w:tcW w:w="749"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4</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2</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змістові модулі та модульний контроль</w:t>
                  </w:r>
                </w:p>
              </w:tc>
              <w:tc>
                <w:tcPr>
                  <w:tcW w:w="149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149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1496"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1497"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50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4"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 xml:space="preserve">Розподіл балів </w:t>
                  </w:r>
                </w:p>
              </w:tc>
              <w:tc>
                <w:tcPr>
                  <w:tcW w:w="497"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8"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498"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9"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497"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8"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49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3"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Наукова робота</w:t>
                  </w:r>
                </w:p>
              </w:tc>
              <w:tc>
                <w:tcPr>
                  <w:tcW w:w="4703" w:type="dxa"/>
                  <w:gridSpan w:val="10"/>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Участь у студентських наукових конференціях, семінарах, круглих столах, олімпіадах та конкурсах</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1 - 10</w:t>
                  </w:r>
                </w:p>
              </w:tc>
            </w:tr>
          </w:tbl>
          <w:p>
            <w:pPr>
              <w:tabs>
                <w:tab w:val="left" w:pos="284"/>
                <w:tab w:val="left" w:pos="567"/>
              </w:tabs>
              <w:spacing w:after="0" w:line="240" w:lineRule="auto"/>
              <w:jc w:val="both"/>
              <w:rPr>
                <w:rFonts w:ascii="Times New Roman" w:hAnsi="Times New Roman" w:cs="Times New Roman"/>
                <w:sz w:val="24"/>
                <w:szCs w:val="24"/>
              </w:rPr>
            </w:pPr>
          </w:p>
          <w:p>
            <w:pPr>
              <w:pStyle w:val="7"/>
              <w:jc w:val="center"/>
              <w:rPr>
                <w:b/>
                <w:bCs/>
                <w:sz w:val="24"/>
                <w:lang w:val="uk-UA"/>
              </w:rPr>
            </w:pPr>
            <w:r>
              <w:rPr>
                <w:b/>
                <w:bCs/>
                <w:sz w:val="24"/>
                <w:lang w:val="uk-UA"/>
              </w:rPr>
              <w:t>Шкала оцінювання модульної контрольної роботи</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
                      <w:bCs/>
                      <w:sz w:val="24"/>
                      <w:lang w:val="uk-UA"/>
                    </w:rPr>
                  </w:pPr>
                  <w:r>
                    <w:rPr>
                      <w:b/>
                      <w:bCs/>
                      <w:sz w:val="24"/>
                      <w:lang w:val="uk-UA"/>
                    </w:rPr>
                    <w:t>Кількість балів</w:t>
                  </w:r>
                </w:p>
              </w:tc>
              <w:tc>
                <w:tcPr>
                  <w:tcW w:w="4261" w:type="dxa"/>
                </w:tcPr>
                <w:p>
                  <w:pPr>
                    <w:pStyle w:val="7"/>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10</w:t>
                  </w:r>
                </w:p>
              </w:tc>
              <w:tc>
                <w:tcPr>
                  <w:tcW w:w="4261" w:type="dxa"/>
                </w:tcPr>
                <w:p>
                  <w:pPr>
                    <w:pStyle w:val="7"/>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9</w:t>
                  </w:r>
                </w:p>
              </w:tc>
              <w:tc>
                <w:tcPr>
                  <w:tcW w:w="4261" w:type="dxa"/>
                </w:tcPr>
                <w:p>
                  <w:pPr>
                    <w:pStyle w:val="7"/>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8</w:t>
                  </w:r>
                </w:p>
              </w:tc>
              <w:tc>
                <w:tcPr>
                  <w:tcW w:w="4261" w:type="dxa"/>
                </w:tcPr>
                <w:p>
                  <w:pPr>
                    <w:pStyle w:val="7"/>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7</w:t>
                  </w:r>
                </w:p>
              </w:tc>
              <w:tc>
                <w:tcPr>
                  <w:tcW w:w="4261" w:type="dxa"/>
                </w:tcPr>
                <w:p>
                  <w:pPr>
                    <w:pStyle w:val="7"/>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6</w:t>
                  </w:r>
                </w:p>
              </w:tc>
              <w:tc>
                <w:tcPr>
                  <w:tcW w:w="4261" w:type="dxa"/>
                </w:tcPr>
                <w:p>
                  <w:pPr>
                    <w:pStyle w:val="7"/>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5</w:t>
                  </w:r>
                </w:p>
              </w:tc>
              <w:tc>
                <w:tcPr>
                  <w:tcW w:w="4261" w:type="dxa"/>
                </w:tcPr>
                <w:p>
                  <w:pPr>
                    <w:pStyle w:val="7"/>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4</w:t>
                  </w:r>
                </w:p>
              </w:tc>
              <w:tc>
                <w:tcPr>
                  <w:tcW w:w="4261" w:type="dxa"/>
                </w:tcPr>
                <w:p>
                  <w:pPr>
                    <w:pStyle w:val="7"/>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3</w:t>
                  </w:r>
                </w:p>
              </w:tc>
              <w:tc>
                <w:tcPr>
                  <w:tcW w:w="4261" w:type="dxa"/>
                </w:tcPr>
                <w:p>
                  <w:pPr>
                    <w:pStyle w:val="7"/>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2</w:t>
                  </w:r>
                </w:p>
              </w:tc>
              <w:tc>
                <w:tcPr>
                  <w:tcW w:w="4261" w:type="dxa"/>
                </w:tcPr>
                <w:p>
                  <w:pPr>
                    <w:pStyle w:val="7"/>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1</w:t>
                  </w:r>
                </w:p>
              </w:tc>
              <w:tc>
                <w:tcPr>
                  <w:tcW w:w="4261" w:type="dxa"/>
                </w:tcPr>
                <w:p>
                  <w:pPr>
                    <w:pStyle w:val="7"/>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0</w:t>
                  </w:r>
                </w:p>
              </w:tc>
              <w:tc>
                <w:tcPr>
                  <w:tcW w:w="4261" w:type="dxa"/>
                </w:tcPr>
                <w:p>
                  <w:pPr>
                    <w:pStyle w:val="7"/>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Зміст СРС з дисципліни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надає викладач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572" w:type="dxa"/>
          </w:tcPr>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Translationswissenschaft als eigenständige Disziplin. Ihr Gegenstand und Grundbegriffe. Die Rolle des Dolmetschens und Übersetzens in der heutigen Zeit.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Text relevant für das Übersetzen. Der Ausgangstext und der Zieltext. Textfunktion.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Texttypen.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Textsorten.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der Interferenz</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der Invarianz.</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der Äquivalenz. Zum Unterschied Adäquatheit und Äquivalenz. Formale und dynamische Äquivalenz. Relative Äquivalenzbegriffe in der Übersetzungswissenschaft.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Äquivalenzarten nach Koller.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Entsprechungstypen der denotativen Äquivalenz.</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Das Übersetzen als eine textgebundene Kommunikationshandlung. Definition des Übersetzens. Teilnehmer des Übersetzungsprozesses.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der Loyalität. Übersetzungsbedingungen.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Abarten des Übersetzens nach der Präsentationsform des AT.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Abarten des Übersetzens nach dem Charakter und Qualität der Entsprechung des AT dem ZT.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Übersetzungstypen nach der Verfahrensweise (von K.Reiß).</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Abarten des Übersetzens nach den gattungsstilistischen Besonderheiten der Übersetzungstexte.</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rezeptive Phase des Übersetzungsprozesses.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übersetzungsvorbereitende Textanalyse.</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Textexterne und textinterne Faktoren.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produktive Phase des Übersetzungsprozesses.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Redaktion des ZT.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übersetzungsrelevante Recherche</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Kriterien der Auswahl der Wörterbücher. Handbibliothek des Übersetzers.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Parallel- und Hintergrundtexten. Glossare und Datenbanken. Informanten.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Definition des Dolmetschens. Abarten des Dolmetschens. Die Vorbereitung auf den Dolmetscheinsatz.</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Das unilaterale konsekutive Dolmetschen. Die rezeptive und produktive Phase des Dolmetschvorgangs.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Dolmetschnotation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Besonderheiten des bilateralen Dolmetschens.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Das Simultandolmetschen.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Strategien und Techniken des Dolmetschens.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Zum Problem der Übersetzungseinheiten.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Ebenen der Übersetzungseinheiten.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rPr>
          <w:rFonts w:ascii="Times New Roman" w:hAnsi="Times New Roman" w:cs="Times New Roman"/>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AB7"/>
    <w:multiLevelType w:val="multilevel"/>
    <w:tmpl w:val="39566AB7"/>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508549F0"/>
    <w:multiLevelType w:val="multilevel"/>
    <w:tmpl w:val="508549F0"/>
    <w:lvl w:ilvl="0" w:tentative="0">
      <w:start w:val="1"/>
      <w:numFmt w:val="decimal"/>
      <w:lvlText w:val="%1."/>
      <w:lvlJc w:val="left"/>
      <w:pPr>
        <w:ind w:left="720" w:hanging="360"/>
      </w:pPr>
      <w:rPr>
        <w:rFonts w:hint="default" w:ascii="Times New Roman" w:hAnsi="Times New Roman" w:cs="Times New Roman"/>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1B364D6"/>
    <w:multiLevelType w:val="multilevel"/>
    <w:tmpl w:val="61B364D6"/>
    <w:lvl w:ilvl="0" w:tentative="0">
      <w:start w:val="1"/>
      <w:numFmt w:val="decimal"/>
      <w:lvlText w:val="%1."/>
      <w:lvlJc w:val="left"/>
      <w:pPr>
        <w:ind w:left="720" w:hanging="360"/>
      </w:pPr>
      <w:rPr>
        <w:rFonts w:hint="default"/>
        <w:b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5E64A8E"/>
    <w:multiLevelType w:val="multilevel"/>
    <w:tmpl w:val="75E64A8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0449"/>
    <w:rsid w:val="00033681"/>
    <w:rsid w:val="00035310"/>
    <w:rsid w:val="00042D4B"/>
    <w:rsid w:val="000474BE"/>
    <w:rsid w:val="00060228"/>
    <w:rsid w:val="000668B0"/>
    <w:rsid w:val="000838A5"/>
    <w:rsid w:val="00086DF1"/>
    <w:rsid w:val="00090C59"/>
    <w:rsid w:val="000963DC"/>
    <w:rsid w:val="000968BD"/>
    <w:rsid w:val="000C3454"/>
    <w:rsid w:val="000D0620"/>
    <w:rsid w:val="000D69EC"/>
    <w:rsid w:val="000E24AC"/>
    <w:rsid w:val="000E5773"/>
    <w:rsid w:val="000E6ABA"/>
    <w:rsid w:val="000F089D"/>
    <w:rsid w:val="000F1E7C"/>
    <w:rsid w:val="000F5E7D"/>
    <w:rsid w:val="00110FFE"/>
    <w:rsid w:val="00111F33"/>
    <w:rsid w:val="00112DF1"/>
    <w:rsid w:val="00115D5E"/>
    <w:rsid w:val="001220E5"/>
    <w:rsid w:val="0013312D"/>
    <w:rsid w:val="001337B3"/>
    <w:rsid w:val="00144ED9"/>
    <w:rsid w:val="00147CA5"/>
    <w:rsid w:val="001512F1"/>
    <w:rsid w:val="00152C6F"/>
    <w:rsid w:val="00154C3D"/>
    <w:rsid w:val="00155DBF"/>
    <w:rsid w:val="001632D2"/>
    <w:rsid w:val="001666C5"/>
    <w:rsid w:val="00170AD3"/>
    <w:rsid w:val="001823C7"/>
    <w:rsid w:val="001A3CC0"/>
    <w:rsid w:val="001B6EE6"/>
    <w:rsid w:val="001C2E13"/>
    <w:rsid w:val="001C4800"/>
    <w:rsid w:val="001D06FB"/>
    <w:rsid w:val="001E036B"/>
    <w:rsid w:val="001E5BC5"/>
    <w:rsid w:val="0020008C"/>
    <w:rsid w:val="00200813"/>
    <w:rsid w:val="0023189C"/>
    <w:rsid w:val="00242DA1"/>
    <w:rsid w:val="00246A5B"/>
    <w:rsid w:val="00255CCF"/>
    <w:rsid w:val="002567B2"/>
    <w:rsid w:val="00276C65"/>
    <w:rsid w:val="00290695"/>
    <w:rsid w:val="00291490"/>
    <w:rsid w:val="0029693D"/>
    <w:rsid w:val="0029704F"/>
    <w:rsid w:val="002A5E14"/>
    <w:rsid w:val="002B5D05"/>
    <w:rsid w:val="002B5E45"/>
    <w:rsid w:val="002C1578"/>
    <w:rsid w:val="002C3E1A"/>
    <w:rsid w:val="002C7DDE"/>
    <w:rsid w:val="002D56F9"/>
    <w:rsid w:val="002D6EAC"/>
    <w:rsid w:val="002E398D"/>
    <w:rsid w:val="002F3A04"/>
    <w:rsid w:val="0031763F"/>
    <w:rsid w:val="003227D6"/>
    <w:rsid w:val="00324625"/>
    <w:rsid w:val="003520DA"/>
    <w:rsid w:val="00353240"/>
    <w:rsid w:val="003545F4"/>
    <w:rsid w:val="003607B5"/>
    <w:rsid w:val="0037198D"/>
    <w:rsid w:val="0037413B"/>
    <w:rsid w:val="003758AD"/>
    <w:rsid w:val="00377564"/>
    <w:rsid w:val="003926F0"/>
    <w:rsid w:val="00395881"/>
    <w:rsid w:val="00395883"/>
    <w:rsid w:val="003A1B35"/>
    <w:rsid w:val="003A6AE1"/>
    <w:rsid w:val="003B2BD1"/>
    <w:rsid w:val="003B701F"/>
    <w:rsid w:val="003C59C0"/>
    <w:rsid w:val="003E78EB"/>
    <w:rsid w:val="003F75A8"/>
    <w:rsid w:val="00406982"/>
    <w:rsid w:val="004113ED"/>
    <w:rsid w:val="004179F0"/>
    <w:rsid w:val="00421927"/>
    <w:rsid w:val="004229F5"/>
    <w:rsid w:val="0045165C"/>
    <w:rsid w:val="004563A3"/>
    <w:rsid w:val="00462530"/>
    <w:rsid w:val="00464607"/>
    <w:rsid w:val="00474594"/>
    <w:rsid w:val="00474B69"/>
    <w:rsid w:val="004752B7"/>
    <w:rsid w:val="00484403"/>
    <w:rsid w:val="00487750"/>
    <w:rsid w:val="004964B4"/>
    <w:rsid w:val="004A4A2C"/>
    <w:rsid w:val="004A4E9E"/>
    <w:rsid w:val="004A535A"/>
    <w:rsid w:val="004C37DA"/>
    <w:rsid w:val="004C4CB7"/>
    <w:rsid w:val="004C7643"/>
    <w:rsid w:val="004D224B"/>
    <w:rsid w:val="004D5660"/>
    <w:rsid w:val="004E1C09"/>
    <w:rsid w:val="004F2511"/>
    <w:rsid w:val="004F446D"/>
    <w:rsid w:val="00521163"/>
    <w:rsid w:val="00527218"/>
    <w:rsid w:val="00527721"/>
    <w:rsid w:val="00530816"/>
    <w:rsid w:val="00531126"/>
    <w:rsid w:val="0053225B"/>
    <w:rsid w:val="00543A92"/>
    <w:rsid w:val="00544414"/>
    <w:rsid w:val="00545920"/>
    <w:rsid w:val="00571E70"/>
    <w:rsid w:val="005727B4"/>
    <w:rsid w:val="005839FE"/>
    <w:rsid w:val="005871A6"/>
    <w:rsid w:val="005A7553"/>
    <w:rsid w:val="005A7AA5"/>
    <w:rsid w:val="005B3A52"/>
    <w:rsid w:val="005C0621"/>
    <w:rsid w:val="005C6295"/>
    <w:rsid w:val="005D462F"/>
    <w:rsid w:val="005E3F11"/>
    <w:rsid w:val="005E430C"/>
    <w:rsid w:val="005E53B6"/>
    <w:rsid w:val="005E5599"/>
    <w:rsid w:val="005F3825"/>
    <w:rsid w:val="005F606F"/>
    <w:rsid w:val="005F6C2A"/>
    <w:rsid w:val="00606309"/>
    <w:rsid w:val="00622338"/>
    <w:rsid w:val="00622556"/>
    <w:rsid w:val="0063013B"/>
    <w:rsid w:val="00633166"/>
    <w:rsid w:val="0063424F"/>
    <w:rsid w:val="006348E4"/>
    <w:rsid w:val="00651C37"/>
    <w:rsid w:val="00660969"/>
    <w:rsid w:val="00661710"/>
    <w:rsid w:val="00663897"/>
    <w:rsid w:val="00675170"/>
    <w:rsid w:val="00676D09"/>
    <w:rsid w:val="00677F7C"/>
    <w:rsid w:val="00683C1D"/>
    <w:rsid w:val="006A5ADD"/>
    <w:rsid w:val="006B39B6"/>
    <w:rsid w:val="006C5C0A"/>
    <w:rsid w:val="006D2B4B"/>
    <w:rsid w:val="006E0793"/>
    <w:rsid w:val="006E7259"/>
    <w:rsid w:val="006F2872"/>
    <w:rsid w:val="006F7E05"/>
    <w:rsid w:val="00710AB7"/>
    <w:rsid w:val="00712690"/>
    <w:rsid w:val="00717F62"/>
    <w:rsid w:val="00722244"/>
    <w:rsid w:val="007233EF"/>
    <w:rsid w:val="00740E45"/>
    <w:rsid w:val="00743667"/>
    <w:rsid w:val="00745231"/>
    <w:rsid w:val="007454B6"/>
    <w:rsid w:val="007508DF"/>
    <w:rsid w:val="00753E89"/>
    <w:rsid w:val="00757015"/>
    <w:rsid w:val="00766C01"/>
    <w:rsid w:val="00777951"/>
    <w:rsid w:val="0078444D"/>
    <w:rsid w:val="0078790E"/>
    <w:rsid w:val="00787BB8"/>
    <w:rsid w:val="007912E9"/>
    <w:rsid w:val="007944E8"/>
    <w:rsid w:val="00795C5F"/>
    <w:rsid w:val="007E2646"/>
    <w:rsid w:val="007E27A3"/>
    <w:rsid w:val="007E4DB1"/>
    <w:rsid w:val="007E53B4"/>
    <w:rsid w:val="007F2861"/>
    <w:rsid w:val="007F53EC"/>
    <w:rsid w:val="008005F5"/>
    <w:rsid w:val="00801F0B"/>
    <w:rsid w:val="008045BC"/>
    <w:rsid w:val="008135AD"/>
    <w:rsid w:val="00846175"/>
    <w:rsid w:val="00856E0C"/>
    <w:rsid w:val="008620E5"/>
    <w:rsid w:val="008702A6"/>
    <w:rsid w:val="00872736"/>
    <w:rsid w:val="008733B0"/>
    <w:rsid w:val="00873F85"/>
    <w:rsid w:val="008809E8"/>
    <w:rsid w:val="00886C22"/>
    <w:rsid w:val="008A52E3"/>
    <w:rsid w:val="008A6970"/>
    <w:rsid w:val="008B4374"/>
    <w:rsid w:val="008B7AB3"/>
    <w:rsid w:val="008C0C9B"/>
    <w:rsid w:val="008C3905"/>
    <w:rsid w:val="008C740E"/>
    <w:rsid w:val="008C7BFE"/>
    <w:rsid w:val="008D13E8"/>
    <w:rsid w:val="008D25AC"/>
    <w:rsid w:val="008D4E49"/>
    <w:rsid w:val="008D5CEE"/>
    <w:rsid w:val="008E1EA1"/>
    <w:rsid w:val="008E212B"/>
    <w:rsid w:val="008F1502"/>
    <w:rsid w:val="008F65D3"/>
    <w:rsid w:val="008F7638"/>
    <w:rsid w:val="008F7FC6"/>
    <w:rsid w:val="00906503"/>
    <w:rsid w:val="009071EA"/>
    <w:rsid w:val="00912931"/>
    <w:rsid w:val="00912D1B"/>
    <w:rsid w:val="00926690"/>
    <w:rsid w:val="00945524"/>
    <w:rsid w:val="00963DF3"/>
    <w:rsid w:val="00971A3D"/>
    <w:rsid w:val="009722DB"/>
    <w:rsid w:val="00976026"/>
    <w:rsid w:val="009773A8"/>
    <w:rsid w:val="00984AB4"/>
    <w:rsid w:val="00985409"/>
    <w:rsid w:val="00986098"/>
    <w:rsid w:val="00995A90"/>
    <w:rsid w:val="009B6B2A"/>
    <w:rsid w:val="009C02DF"/>
    <w:rsid w:val="009F3413"/>
    <w:rsid w:val="009F747E"/>
    <w:rsid w:val="00A06637"/>
    <w:rsid w:val="00A11B5D"/>
    <w:rsid w:val="00A14F99"/>
    <w:rsid w:val="00A2120D"/>
    <w:rsid w:val="00A22147"/>
    <w:rsid w:val="00A36AEE"/>
    <w:rsid w:val="00A40F5A"/>
    <w:rsid w:val="00A47E45"/>
    <w:rsid w:val="00A571C8"/>
    <w:rsid w:val="00A65B9E"/>
    <w:rsid w:val="00A72D32"/>
    <w:rsid w:val="00AA27BC"/>
    <w:rsid w:val="00AA3454"/>
    <w:rsid w:val="00AA647C"/>
    <w:rsid w:val="00AB31FF"/>
    <w:rsid w:val="00AC5066"/>
    <w:rsid w:val="00AC64BF"/>
    <w:rsid w:val="00AD5B28"/>
    <w:rsid w:val="00AD6D50"/>
    <w:rsid w:val="00AE2897"/>
    <w:rsid w:val="00B02D5E"/>
    <w:rsid w:val="00B13D0F"/>
    <w:rsid w:val="00B16DDD"/>
    <w:rsid w:val="00B1737C"/>
    <w:rsid w:val="00B176C7"/>
    <w:rsid w:val="00B17A00"/>
    <w:rsid w:val="00B219DF"/>
    <w:rsid w:val="00B21F1D"/>
    <w:rsid w:val="00B31959"/>
    <w:rsid w:val="00B423D0"/>
    <w:rsid w:val="00B46BC2"/>
    <w:rsid w:val="00B5602C"/>
    <w:rsid w:val="00B70E20"/>
    <w:rsid w:val="00B7661F"/>
    <w:rsid w:val="00B76F7A"/>
    <w:rsid w:val="00B82652"/>
    <w:rsid w:val="00B83657"/>
    <w:rsid w:val="00B900AD"/>
    <w:rsid w:val="00B96B32"/>
    <w:rsid w:val="00BA0648"/>
    <w:rsid w:val="00BA5AF6"/>
    <w:rsid w:val="00BC3238"/>
    <w:rsid w:val="00BD09E5"/>
    <w:rsid w:val="00BD58B9"/>
    <w:rsid w:val="00BE36CD"/>
    <w:rsid w:val="00BF0DCC"/>
    <w:rsid w:val="00BF379C"/>
    <w:rsid w:val="00C0310D"/>
    <w:rsid w:val="00C15F59"/>
    <w:rsid w:val="00C173A1"/>
    <w:rsid w:val="00C32AC1"/>
    <w:rsid w:val="00C4573D"/>
    <w:rsid w:val="00C46427"/>
    <w:rsid w:val="00C54FB1"/>
    <w:rsid w:val="00C60DCF"/>
    <w:rsid w:val="00C65C7B"/>
    <w:rsid w:val="00C65F69"/>
    <w:rsid w:val="00C75674"/>
    <w:rsid w:val="00C80F24"/>
    <w:rsid w:val="00C811BA"/>
    <w:rsid w:val="00C81BD4"/>
    <w:rsid w:val="00C85589"/>
    <w:rsid w:val="00C85CB8"/>
    <w:rsid w:val="00C95DBF"/>
    <w:rsid w:val="00CA0EED"/>
    <w:rsid w:val="00CA1B66"/>
    <w:rsid w:val="00CA43D1"/>
    <w:rsid w:val="00CC77CF"/>
    <w:rsid w:val="00CD1CE9"/>
    <w:rsid w:val="00CD5334"/>
    <w:rsid w:val="00CE0A75"/>
    <w:rsid w:val="00CE0BC8"/>
    <w:rsid w:val="00CE1694"/>
    <w:rsid w:val="00CF0147"/>
    <w:rsid w:val="00CF38FE"/>
    <w:rsid w:val="00CF7B63"/>
    <w:rsid w:val="00D00C59"/>
    <w:rsid w:val="00D1431A"/>
    <w:rsid w:val="00D25775"/>
    <w:rsid w:val="00D40643"/>
    <w:rsid w:val="00D4199B"/>
    <w:rsid w:val="00D42B62"/>
    <w:rsid w:val="00D44328"/>
    <w:rsid w:val="00D44F54"/>
    <w:rsid w:val="00D46615"/>
    <w:rsid w:val="00D46B73"/>
    <w:rsid w:val="00D53949"/>
    <w:rsid w:val="00D55F57"/>
    <w:rsid w:val="00D56BFF"/>
    <w:rsid w:val="00D577F8"/>
    <w:rsid w:val="00D61AB9"/>
    <w:rsid w:val="00D624CB"/>
    <w:rsid w:val="00D66059"/>
    <w:rsid w:val="00D7021F"/>
    <w:rsid w:val="00D72547"/>
    <w:rsid w:val="00D72CF1"/>
    <w:rsid w:val="00D7410C"/>
    <w:rsid w:val="00DA4300"/>
    <w:rsid w:val="00DB10D9"/>
    <w:rsid w:val="00DB11F0"/>
    <w:rsid w:val="00DC3EF4"/>
    <w:rsid w:val="00DD44B6"/>
    <w:rsid w:val="00DD49E4"/>
    <w:rsid w:val="00DD5365"/>
    <w:rsid w:val="00DD7623"/>
    <w:rsid w:val="00DE4E6F"/>
    <w:rsid w:val="00DF618D"/>
    <w:rsid w:val="00E0490E"/>
    <w:rsid w:val="00E05661"/>
    <w:rsid w:val="00E1064F"/>
    <w:rsid w:val="00E1636A"/>
    <w:rsid w:val="00E21327"/>
    <w:rsid w:val="00E22534"/>
    <w:rsid w:val="00E271CB"/>
    <w:rsid w:val="00E33C03"/>
    <w:rsid w:val="00E416D1"/>
    <w:rsid w:val="00E51E49"/>
    <w:rsid w:val="00E83BF1"/>
    <w:rsid w:val="00EA5BBB"/>
    <w:rsid w:val="00EC47B3"/>
    <w:rsid w:val="00ED0B47"/>
    <w:rsid w:val="00ED4A1E"/>
    <w:rsid w:val="00ED679D"/>
    <w:rsid w:val="00EE1595"/>
    <w:rsid w:val="00EE3967"/>
    <w:rsid w:val="00EF2C86"/>
    <w:rsid w:val="00EF37F4"/>
    <w:rsid w:val="00F0134F"/>
    <w:rsid w:val="00F04ACA"/>
    <w:rsid w:val="00F20A92"/>
    <w:rsid w:val="00F231C6"/>
    <w:rsid w:val="00F23949"/>
    <w:rsid w:val="00F34528"/>
    <w:rsid w:val="00F5323F"/>
    <w:rsid w:val="00F57A38"/>
    <w:rsid w:val="00F57AEF"/>
    <w:rsid w:val="00F622CF"/>
    <w:rsid w:val="00F66F80"/>
    <w:rsid w:val="00F86069"/>
    <w:rsid w:val="00F86ADF"/>
    <w:rsid w:val="00FA030D"/>
    <w:rsid w:val="00FA656E"/>
    <w:rsid w:val="00FB7621"/>
    <w:rsid w:val="00FB7920"/>
    <w:rsid w:val="00FC74B7"/>
    <w:rsid w:val="00FD2F64"/>
    <w:rsid w:val="00FD6660"/>
    <w:rsid w:val="00FD7C58"/>
    <w:rsid w:val="00FF0363"/>
    <w:rsid w:val="00FF0A0D"/>
    <w:rsid w:val="00FF58ED"/>
    <w:rsid w:val="00FF68F5"/>
    <w:rsid w:val="0E99ECD2"/>
    <w:rsid w:val="1E7DE699"/>
    <w:rsid w:val="272D0B45"/>
    <w:rsid w:val="2BF24E77"/>
    <w:rsid w:val="2DD4579F"/>
    <w:rsid w:val="2EB33351"/>
    <w:rsid w:val="3250C819"/>
    <w:rsid w:val="3F86E9CF"/>
    <w:rsid w:val="49FE906F"/>
    <w:rsid w:val="69EE3C5D"/>
    <w:rsid w:val="777CB491"/>
    <w:rsid w:val="78867785"/>
    <w:rsid w:val="7A4B3DE8"/>
    <w:rsid w:val="7AC98DF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6"/>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9"/>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5"/>
    <w:basedOn w:val="1"/>
    <w:next w:val="1"/>
    <w:link w:val="24"/>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5">
    <w:name w:val="heading 7"/>
    <w:basedOn w:val="1"/>
    <w:next w:val="1"/>
    <w:link w:val="20"/>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0">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Balloon Text"/>
    <w:basedOn w:val="1"/>
    <w:link w:val="22"/>
    <w:unhideWhenUsed/>
    <w:qFormat/>
    <w:uiPriority w:val="99"/>
    <w:pPr>
      <w:spacing w:after="0" w:line="240" w:lineRule="auto"/>
    </w:pPr>
    <w:rPr>
      <w:rFonts w:ascii="Tahoma" w:hAnsi="Tahoma" w:cs="Tahoma"/>
      <w:sz w:val="16"/>
      <w:szCs w:val="16"/>
    </w:rPr>
  </w:style>
  <w:style w:type="paragraph" w:styleId="7">
    <w:name w:val="Body Text"/>
    <w:basedOn w:val="1"/>
    <w:link w:val="21"/>
    <w:qFormat/>
    <w:uiPriority w:val="0"/>
    <w:pPr>
      <w:spacing w:after="120" w:line="240" w:lineRule="auto"/>
    </w:pPr>
    <w:rPr>
      <w:rFonts w:ascii="Times New Roman" w:hAnsi="Times New Roman" w:eastAsia="Times New Roman" w:cs="Times New Roman"/>
      <w:sz w:val="28"/>
      <w:szCs w:val="24"/>
      <w:lang w:val="ru-RU" w:eastAsia="ru-RU"/>
    </w:rPr>
  </w:style>
  <w:style w:type="paragraph" w:styleId="8">
    <w:name w:val="footer"/>
    <w:basedOn w:val="1"/>
    <w:link w:val="27"/>
    <w:unhideWhenUsed/>
    <w:qFormat/>
    <w:uiPriority w:val="99"/>
    <w:pPr>
      <w:tabs>
        <w:tab w:val="center" w:pos="4819"/>
        <w:tab w:val="right" w:pos="9639"/>
      </w:tabs>
      <w:spacing w:after="0" w:line="240" w:lineRule="auto"/>
    </w:pPr>
  </w:style>
  <w:style w:type="paragraph" w:styleId="9">
    <w:name w:val="header"/>
    <w:basedOn w:val="1"/>
    <w:link w:val="26"/>
    <w:unhideWhenUsed/>
    <w:qFormat/>
    <w:uiPriority w:val="99"/>
    <w:pPr>
      <w:tabs>
        <w:tab w:val="center" w:pos="4819"/>
        <w:tab w:val="right" w:pos="9639"/>
      </w:tabs>
      <w:spacing w:after="0" w:line="240" w:lineRule="auto"/>
    </w:pPr>
  </w:style>
  <w:style w:type="character" w:styleId="11">
    <w:name w:val="Emphasis"/>
    <w:qFormat/>
    <w:uiPriority w:val="20"/>
    <w:rPr>
      <w:i/>
      <w:iCs/>
    </w:rPr>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Заголовок 1 Знак"/>
    <w:basedOn w:val="10"/>
    <w:link w:val="2"/>
    <w:qFormat/>
    <w:uiPriority w:val="0"/>
    <w:rPr>
      <w:rFonts w:ascii="Times New Roman" w:hAnsi="Times New Roman" w:eastAsia="Times New Roman" w:cs="Times New Roman"/>
      <w:sz w:val="32"/>
      <w:szCs w:val="24"/>
      <w:lang w:eastAsia="ru-RU"/>
    </w:rPr>
  </w:style>
  <w:style w:type="paragraph" w:customStyle="1" w:styleId="17">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8">
    <w:name w:val="List Paragraph"/>
    <w:basedOn w:val="1"/>
    <w:qFormat/>
    <w:uiPriority w:val="34"/>
    <w:pPr>
      <w:ind w:left="720"/>
      <w:contextualSpacing/>
    </w:pPr>
  </w:style>
  <w:style w:type="character" w:customStyle="1" w:styleId="19">
    <w:name w:val="Заголовок 4 Знак"/>
    <w:basedOn w:val="10"/>
    <w:link w:val="3"/>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0">
    <w:name w:val="Заголовок 7 Знак"/>
    <w:basedOn w:val="10"/>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1">
    <w:name w:val="Основной текст Знак"/>
    <w:basedOn w:val="10"/>
    <w:link w:val="7"/>
    <w:qFormat/>
    <w:uiPriority w:val="0"/>
    <w:rPr>
      <w:rFonts w:ascii="Times New Roman" w:hAnsi="Times New Roman" w:eastAsia="Times New Roman" w:cs="Times New Roman"/>
      <w:sz w:val="28"/>
      <w:szCs w:val="24"/>
      <w:lang w:val="ru-RU" w:eastAsia="ru-RU"/>
    </w:rPr>
  </w:style>
  <w:style w:type="character" w:customStyle="1" w:styleId="22">
    <w:name w:val="Текст выноски Знак"/>
    <w:basedOn w:val="10"/>
    <w:link w:val="6"/>
    <w:semiHidden/>
    <w:qFormat/>
    <w:uiPriority w:val="99"/>
    <w:rPr>
      <w:rFonts w:ascii="Tahoma" w:hAnsi="Tahoma" w:cs="Tahoma"/>
      <w:sz w:val="16"/>
      <w:szCs w:val="16"/>
    </w:rPr>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4">
    <w:name w:val="Заголовок 5 Знак"/>
    <w:basedOn w:val="10"/>
    <w:link w:val="4"/>
    <w:qFormat/>
    <w:uiPriority w:val="0"/>
    <w:rPr>
      <w:rFonts w:asciiTheme="majorHAnsi" w:hAnsiTheme="majorHAnsi" w:eastAsiaTheme="majorEastAsia" w:cstheme="majorBidi"/>
      <w:color w:val="376092" w:themeColor="accent1" w:themeShade="BF"/>
    </w:rPr>
  </w:style>
  <w:style w:type="character" w:customStyle="1" w:styleId="25">
    <w:name w:val="st"/>
    <w:basedOn w:val="10"/>
    <w:qFormat/>
    <w:uiPriority w:val="0"/>
  </w:style>
  <w:style w:type="character" w:customStyle="1" w:styleId="26">
    <w:name w:val="Верхний колонтитул Знак"/>
    <w:basedOn w:val="10"/>
    <w:link w:val="9"/>
    <w:qFormat/>
    <w:uiPriority w:val="99"/>
  </w:style>
  <w:style w:type="character" w:customStyle="1" w:styleId="27">
    <w:name w:val="Нижний колонтитул Знак"/>
    <w:basedOn w:val="10"/>
    <w:link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Taras Pyts</dc:creator>
  <cp:lastModifiedBy>olgadenys</cp:lastModifiedBy>
  <dcterms:modified xsi:type="dcterms:W3CDTF">2021-02-18T19:52:27Z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