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С И Л А Б У С</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Відтворення комунікативних стратегій у перекладі</w:t>
      </w: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r>
        <w:rPr>
          <w:rFonts w:ascii="Times New Roman" w:hAnsi="Times New Roman" w:cs="Times New Roman"/>
          <w:b/>
          <w:sz w:val="28"/>
          <w:szCs w:val="28"/>
          <w:lang w:val="ru-RU"/>
        </w:rPr>
        <w:t xml:space="preserve">Освітній рівень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бакалавр</w:t>
      </w:r>
    </w:p>
    <w:p>
      <w:pPr>
        <w:tabs>
          <w:tab w:val="left" w:pos="2127"/>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Галузь знань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 xml:space="preserve">03 </w:t>
      </w:r>
      <w:r>
        <w:rPr>
          <w:rFonts w:ascii="Times New Roman" w:hAnsi="Times New Roman" w:cs="Times New Roman"/>
          <w:b/>
          <w:sz w:val="28"/>
          <w:szCs w:val="28"/>
        </w:rPr>
        <w:t>Г</w:t>
      </w:r>
      <w:r>
        <w:rPr>
          <w:rFonts w:ascii="Times New Roman" w:hAnsi="Times New Roman" w:cs="Times New Roman"/>
          <w:b/>
          <w:sz w:val="28"/>
          <w:szCs w:val="28"/>
          <w:lang w:val="ru-RU"/>
        </w:rPr>
        <w:t>уманітарні науки</w:t>
      </w:r>
    </w:p>
    <w:p>
      <w:pPr>
        <w:rPr>
          <w:rFonts w:ascii="Times New Roman" w:hAnsi="Times New Roman" w:cs="Times New Roman"/>
          <w:b/>
          <w:sz w:val="28"/>
          <w:szCs w:val="28"/>
          <w:lang w:val="ru-RU"/>
        </w:rPr>
      </w:pPr>
      <w:r>
        <w:rPr>
          <w:rFonts w:ascii="Times New Roman" w:hAnsi="Times New Roman" w:cs="Times New Roman"/>
          <w:b/>
          <w:sz w:val="28"/>
          <w:szCs w:val="28"/>
          <w:lang w:val="ru-RU"/>
        </w:rPr>
        <w:t xml:space="preserve">Спеціальність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035 Філологія</w:t>
      </w:r>
    </w:p>
    <w:p>
      <w:pPr>
        <w:ind w:left="2832" w:hanging="2832"/>
        <w:rPr>
          <w:rFonts w:ascii="Times New Roman" w:hAnsi="Times New Roman" w:cs="Times New Roman"/>
          <w:b/>
          <w:sz w:val="28"/>
          <w:szCs w:val="28"/>
          <w:lang w:val="ru-RU"/>
        </w:rPr>
      </w:pPr>
      <w:r>
        <w:rPr>
          <w:rFonts w:ascii="Times New Roman" w:hAnsi="Times New Roman" w:cs="Times New Roman"/>
          <w:b/>
          <w:sz w:val="28"/>
          <w:szCs w:val="28"/>
          <w:lang w:val="ru-RU"/>
        </w:rPr>
        <w:t xml:space="preserve">Спеціалізація </w:t>
      </w:r>
      <w:r>
        <w:rPr>
          <w:rFonts w:ascii="Times New Roman" w:hAnsi="Times New Roman" w:cs="Times New Roman"/>
          <w:b/>
          <w:sz w:val="28"/>
          <w:szCs w:val="28"/>
          <w:lang w:val="ru-RU"/>
        </w:rPr>
        <w:tab/>
      </w:r>
      <w:r>
        <w:rPr>
          <w:rFonts w:ascii="Times New Roman" w:hAnsi="Times New Roman" w:cs="Times New Roman"/>
          <w:b/>
          <w:sz w:val="28"/>
          <w:szCs w:val="28"/>
          <w:lang w:val="ru-RU"/>
        </w:rPr>
        <w:t>035.043 германські мови та літератури (переклад включно), перша – німецька</w:t>
      </w:r>
    </w:p>
    <w:p>
      <w:pPr>
        <w:ind w:left="2832" w:hanging="2832"/>
        <w:rPr>
          <w:rFonts w:ascii="Times New Roman" w:hAnsi="Times New Roman" w:cs="Times New Roman"/>
          <w:b/>
          <w:sz w:val="28"/>
          <w:szCs w:val="28"/>
          <w:lang w:val="ru-RU"/>
        </w:rPr>
      </w:pPr>
      <w:r>
        <w:rPr>
          <w:rFonts w:ascii="Times New Roman" w:hAnsi="Times New Roman" w:cs="Times New Roman"/>
          <w:b/>
          <w:sz w:val="28"/>
          <w:szCs w:val="28"/>
        </w:rPr>
        <w:t>Освітня програма</w:t>
      </w:r>
      <w:r>
        <w:rPr>
          <w:rFonts w:ascii="Times New Roman" w:hAnsi="Times New Roman" w:cs="Times New Roman"/>
          <w:b/>
          <w:sz w:val="28"/>
          <w:szCs w:val="28"/>
        </w:rPr>
        <w:tab/>
      </w:r>
      <w:r>
        <w:rPr>
          <w:rFonts w:ascii="Times New Roman" w:hAnsi="Times New Roman" w:cs="Times New Roman"/>
          <w:b/>
          <w:sz w:val="28"/>
          <w:szCs w:val="28"/>
          <w:lang w:val="ru-RU"/>
        </w:rPr>
        <w:t>«Переклад двох іноземних мов та міжкультурна комунікація»</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Львів – 2020 рік</w:t>
      </w:r>
      <w:r>
        <w:rPr>
          <w:rFonts w:ascii="Times New Roman" w:hAnsi="Times New Roman" w:cs="Times New Roman"/>
          <w:b/>
          <w:sz w:val="28"/>
          <w:szCs w:val="28"/>
          <w:lang w:val="ru-RU"/>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«Відтворення комунікативних стратегій у перекладі»</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rPr>
              <w:t>Відтворення комунікативних стратегій у перекладі</w:t>
            </w:r>
          </w:p>
        </w:tc>
      </w:tr>
      <w:tr>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Івана Франка, м. Львів, вул. Університетська</w:t>
            </w:r>
            <w:r>
              <w:rPr>
                <w:rFonts w:ascii="Times New Roman" w:hAnsi="Times New Roman" w:cs="Times New Roman"/>
                <w:sz w:val="24"/>
                <w:szCs w:val="24"/>
                <w:lang w:val="ru-RU"/>
              </w:rPr>
              <w:t>,</w:t>
            </w:r>
            <w:r>
              <w:rPr>
                <w:rFonts w:ascii="Times New Roman" w:hAnsi="Times New Roman" w:cs="Times New Roman"/>
                <w:sz w:val="24"/>
                <w:szCs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bCs/>
                <w:i/>
                <w:iCs/>
                <w:sz w:val="24"/>
                <w:szCs w:val="24"/>
              </w:rPr>
            </w:pPr>
            <w:r>
              <w:rPr>
                <w:rFonts w:ascii="Times New Roman" w:hAnsi="Times New Roman" w:cs="Times New Roman"/>
                <w:sz w:val="24"/>
                <w:szCs w:val="24"/>
              </w:rPr>
              <w:t xml:space="preserve">Спеціалізація </w:t>
            </w:r>
            <w:r>
              <w:rPr>
                <w:rFonts w:ascii="Times New Roman" w:hAnsi="Times New Roman" w:cs="Times New Roman"/>
                <w:bCs/>
                <w:i/>
                <w:iCs/>
                <w:sz w:val="24"/>
                <w:szCs w:val="24"/>
                <w:lang w:val="ru-RU"/>
              </w:rPr>
              <w:t>035.043 германські мови та літератури (переклад включно), перша – німецька</w:t>
            </w:r>
          </w:p>
          <w:p>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Освітня програма</w:t>
            </w:r>
            <w:r>
              <w:rPr>
                <w:rFonts w:ascii="Times New Roman" w:hAnsi="Times New Roman" w:cs="Times New Roman"/>
                <w:i/>
                <w:sz w:val="24"/>
                <w:szCs w:val="24"/>
              </w:rPr>
              <w:tab/>
            </w:r>
            <w:r>
              <w:rPr>
                <w:rFonts w:ascii="Times New Roman" w:hAnsi="Times New Roman" w:cs="Times New Roman"/>
                <w:i/>
                <w:sz w:val="24"/>
                <w:szCs w:val="24"/>
              </w:rPr>
              <w:t xml:space="preserve">«Переклад двох іноземних мов та міжкультурна комунікація» </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ВИКЛАДАЧА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Прізвище, ім'я, по батькові</w:t>
            </w:r>
          </w:p>
        </w:tc>
        <w:tc>
          <w:tcPr>
            <w:tcW w:w="6486"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Шум'яцька Олександра Михайлівна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д</w:t>
            </w:r>
            <w:r>
              <w:rPr>
                <w:rFonts w:ascii="Times New Roman" w:hAnsi="Times New Roman" w:cs="Times New Roman"/>
                <w:sz w:val="24"/>
                <w:szCs w:val="24"/>
              </w:rPr>
              <w:t>оцент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 роботи</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Електронна адреса</w:t>
            </w:r>
          </w:p>
        </w:tc>
        <w:tc>
          <w:tcPr>
            <w:tcW w:w="6486" w:type="dxa"/>
          </w:tcPr>
          <w:p>
            <w:pPr>
              <w:spacing w:after="0" w:line="240" w:lineRule="auto"/>
              <w:rPr>
                <w:rFonts w:ascii="Times New Roman" w:hAnsi="Times New Roman" w:cs="Times New Roman"/>
                <w:sz w:val="24"/>
                <w:szCs w:val="24"/>
                <w:lang w:val="ru-RU"/>
              </w:rPr>
            </w:pPr>
            <w:r>
              <w:fldChar w:fldCharType="begin"/>
            </w:r>
            <w:r>
              <w:instrText xml:space="preserve"> HYPERLINK "mailto:oleksandra.shumiatska@lnu.edu.ua" </w:instrText>
            </w:r>
            <w:r>
              <w:fldChar w:fldCharType="separate"/>
            </w:r>
            <w:r>
              <w:rPr>
                <w:rStyle w:val="9"/>
                <w:rFonts w:ascii="Times New Roman" w:hAnsi="Times New Roman" w:cs="Times New Roman"/>
                <w:sz w:val="24"/>
                <w:szCs w:val="24"/>
                <w:lang w:val="ru-RU"/>
              </w:rPr>
              <w:t>oleksandra.shumiatska@lnu.edu.ua</w:t>
            </w:r>
            <w:r>
              <w:rPr>
                <w:rStyle w:val="9"/>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Сторінка викладача</w:t>
            </w:r>
          </w:p>
        </w:tc>
        <w:tc>
          <w:tcPr>
            <w:tcW w:w="6486" w:type="dxa"/>
          </w:tcPr>
          <w:p>
            <w:pPr>
              <w:spacing w:after="0" w:line="240" w:lineRule="auto"/>
              <w:rPr>
                <w:rFonts w:ascii="Times New Roman" w:hAnsi="Times New Roman" w:cs="Times New Roman"/>
                <w:b/>
                <w:sz w:val="24"/>
                <w:szCs w:val="24"/>
              </w:rPr>
            </w:pPr>
            <w:r>
              <w:fldChar w:fldCharType="begin"/>
            </w:r>
            <w:r>
              <w:instrText xml:space="preserve"> HYPERLINK "https://lingua.lnu.edu.ua/employee/shumyatska-oleksandra-myhajlivna" </w:instrText>
            </w:r>
            <w:r>
              <w:fldChar w:fldCharType="separate"/>
            </w:r>
            <w:r>
              <w:rPr>
                <w:rStyle w:val="9"/>
                <w:rFonts w:ascii="Times New Roman" w:hAnsi="Times New Roman" w:cs="Times New Roman"/>
                <w:sz w:val="24"/>
                <w:szCs w:val="24"/>
              </w:rPr>
              <w:t>https://lingua.lnu.edu.ua/employee/shumyatska-oleksandra-myhajlivna</w:t>
            </w:r>
            <w:r>
              <w:rPr>
                <w:rStyle w:val="9"/>
                <w:rFonts w:ascii="Times New Roman" w:hAnsi="Times New Roman" w:cs="Times New Roman"/>
                <w:sz w:val="24"/>
                <w:szCs w:val="24"/>
              </w:rPr>
              <w:fldChar w:fldCharType="end"/>
            </w:r>
            <w:r>
              <w:rPr>
                <w:rFonts w:ascii="Times New Roman" w:hAnsi="Times New Roman" w:cs="Times New Roman"/>
                <w:b/>
                <w:sz w:val="24"/>
                <w:szCs w:val="24"/>
              </w:rPr>
              <w:t xml:space="preserve"> </w:t>
            </w:r>
          </w:p>
        </w:tc>
      </w:tr>
    </w:tbl>
    <w:p>
      <w:pPr>
        <w:jc w:val="center"/>
        <w:rPr>
          <w:rFonts w:ascii="Times New Roman" w:hAnsi="Times New Roman" w:cs="Times New Roman"/>
          <w:b/>
          <w:sz w:val="24"/>
          <w:szCs w:val="24"/>
          <w:lang w:val="ru-RU"/>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КОНСУЛЬТАЦІЇ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Час</w:t>
            </w:r>
          </w:p>
        </w:tc>
        <w:tc>
          <w:tcPr>
            <w:tcW w:w="6486" w:type="dxa"/>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Щочетверга, 13.30-15.20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німецької філології (м. Львів, вул. Університетська, 1, каб. 417)</w:t>
            </w:r>
          </w:p>
        </w:tc>
      </w:tr>
    </w:tbl>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КУРС</w:t>
      </w:r>
    </w:p>
    <w:tbl>
      <w:tblPr>
        <w:tblStyle w:val="11"/>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Сторінка курсу</w:t>
            </w:r>
          </w:p>
        </w:tc>
        <w:tc>
          <w:tcPr>
            <w:tcW w:w="7229" w:type="dxa"/>
          </w:tcPr>
          <w:p>
            <w:pPr>
              <w:spacing w:after="0" w:line="240" w:lineRule="auto"/>
              <w:jc w:val="both"/>
              <w:rPr>
                <w:rFonts w:ascii="Times New Roman" w:hAnsi="Times New Roman" w:cs="Times New Roman"/>
                <w:b/>
                <w:sz w:val="24"/>
                <w:szCs w:val="24"/>
                <w:lang w:val="ru-RU"/>
              </w:rPr>
            </w:pPr>
            <w:r>
              <w:fldChar w:fldCharType="begin"/>
            </w:r>
            <w:r>
              <w:instrText xml:space="preserve"> HYPERLINK "https://lingua.lnu.edu.ua/department/mizhkulturnoji-komunikatsiji-ta-perekladu" </w:instrText>
            </w:r>
            <w:r>
              <w:fldChar w:fldCharType="separate"/>
            </w:r>
            <w:r>
              <w:rPr>
                <w:rStyle w:val="9"/>
                <w:rFonts w:ascii="Times New Roman" w:hAnsi="Times New Roman" w:cs="Times New Roman"/>
                <w:sz w:val="24"/>
                <w:szCs w:val="24"/>
              </w:rPr>
              <w:t>https://lingua.lnu.edu.ua/department/mizhkulturnoji-komunikatsiji-ta-perekladu</w:t>
            </w:r>
            <w:r>
              <w:rPr>
                <w:rStyle w:val="9"/>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Коротка анотація курсу</w:t>
            </w:r>
          </w:p>
        </w:tc>
        <w:tc>
          <w:tcPr>
            <w:tcW w:w="7229"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Дисципліна «</w:t>
            </w:r>
            <w:r>
              <w:rPr>
                <w:rFonts w:ascii="Times New Roman" w:hAnsi="Times New Roman" w:cs="Times New Roman"/>
                <w:bCs/>
                <w:sz w:val="24"/>
                <w:szCs w:val="24"/>
              </w:rPr>
              <w:t>Відтворення комунікативних стратегій у перекладі</w:t>
            </w:r>
            <w:r>
              <w:rPr>
                <w:rFonts w:ascii="Times New Roman" w:hAnsi="Times New Roman" w:cs="Times New Roman"/>
                <w:sz w:val="24"/>
                <w:szCs w:val="24"/>
              </w:rPr>
              <w:t>» є вибірковою дисципліною зі спеціальності 035 Філологія для освітньої програми ОС «бакалавр», яка викладається в 3 семестрі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rPr>
              <w:t>Мета та цілі курсу</w:t>
            </w:r>
          </w:p>
        </w:tc>
        <w:tc>
          <w:tcPr>
            <w:tcW w:w="7229"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ознайомити студентів із теоретичними основами комунікативного процесу; ознайомити студентів зі способами відтворення комунікативних стратегій і тактик у перекладі, залежно від типу комунікативних ситуацій; навчити студентів розрізняти і розуміти всі тонкощі комунікативної поведінки мовця, вміти на них правильно реагувати та адекватно відтворювати під час перекладу.</w:t>
            </w:r>
          </w:p>
          <w:p>
            <w:pPr>
              <w:pStyle w:val="13"/>
              <w:jc w:val="both"/>
              <w:rPr>
                <w:rFonts w:ascii="Times New Roman" w:hAnsi="Times New Roman"/>
                <w:sz w:val="24"/>
                <w:szCs w:val="24"/>
              </w:rPr>
            </w:pPr>
            <w:r>
              <w:rPr>
                <w:rFonts w:ascii="Times New Roman" w:hAnsi="Times New Roman"/>
                <w:b/>
                <w:i/>
                <w:sz w:val="24"/>
                <w:szCs w:val="24"/>
              </w:rPr>
              <w:t>Завдання</w:t>
            </w:r>
            <w:r>
              <w:rPr>
                <w:rFonts w:ascii="Times New Roman" w:hAnsi="Times New Roman"/>
                <w:sz w:val="24"/>
                <w:szCs w:val="24"/>
              </w:rPr>
              <w:t xml:space="preserve"> курсу – навчити студентів розрізняти різні типи комунікативних ситуацій, їхні характерні особливості; використовувати в усному та письмовому мовленні у відповідності до стилістичної норми мовні та стилістичні засоби; застосовувати в усному та письмовому мовленні оптимальні способи відтворення комунікативних стратегій у перекладі;  добирати лексику в вихідній та цільовій мові для досягнення комунікативного ефекту; застосовувати мовні знання у практичних ситуаціях; володіти основними етичними нормами та знати правила поведінки у конкретних мовних ситуаціях, у т. ч. під час усного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229" w:type="dxa"/>
          </w:tcPr>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pPr>
              <w:pStyle w:val="19"/>
              <w:numPr>
                <w:ilvl w:val="3"/>
                <w:numId w:val="1"/>
              </w:numPr>
              <w:spacing w:after="23"/>
              <w:ind w:left="318"/>
              <w:rPr>
                <w:lang w:val="ru-RU"/>
              </w:rPr>
            </w:pPr>
            <w:r>
              <w:rPr>
                <w:lang w:val="ru-RU"/>
              </w:rPr>
              <w:t xml:space="preserve">Бацевич Ф. С. Основи комунікативної лінгвістики / Ф. С. Бацевич – К. : Видавничий центр “Академія”, 2004. – 344 с. </w:t>
            </w:r>
          </w:p>
          <w:p>
            <w:pPr>
              <w:pStyle w:val="19"/>
              <w:numPr>
                <w:ilvl w:val="3"/>
                <w:numId w:val="1"/>
              </w:numPr>
              <w:spacing w:after="23"/>
              <w:ind w:left="318"/>
              <w:rPr>
                <w:lang w:val="ru-RU"/>
              </w:rPr>
            </w:pPr>
            <w:r>
              <w:rPr>
                <w:lang w:val="ru-RU"/>
              </w:rPr>
              <w:t>Кам’янець В. Дипломатія німецькою. Посібник з лексики для студентів факультетів міжнародних відносин / Володимир Кам’янець. – Львів : ВНТЛ-Класика, 2009.</w:t>
            </w:r>
          </w:p>
          <w:p>
            <w:pPr>
              <w:pStyle w:val="19"/>
              <w:numPr>
                <w:ilvl w:val="3"/>
                <w:numId w:val="1"/>
              </w:numPr>
              <w:spacing w:after="23"/>
              <w:ind w:left="318"/>
              <w:rPr>
                <w:lang w:val="ru-RU"/>
              </w:rPr>
            </w:pPr>
            <w:r>
              <w:t xml:space="preserve">Яшенкова О. В. Основи теорії мовної комунікації: навч. посіб./ </w:t>
            </w:r>
            <w:r>
              <w:rPr>
                <w:lang w:val="ru-RU"/>
              </w:rPr>
              <w:t xml:space="preserve">О. В. Яшенкова. – К.: ВЦ «Академія», 2010. – 312 с. </w:t>
            </w:r>
          </w:p>
          <w:p>
            <w:pPr>
              <w:pStyle w:val="19"/>
              <w:spacing w:after="23"/>
              <w:ind w:left="14"/>
              <w:rPr>
                <w:lang w:val="ru-RU"/>
              </w:rPr>
            </w:pPr>
          </w:p>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Додаткова</w:t>
            </w:r>
          </w:p>
          <w:p>
            <w:pPr>
              <w:pStyle w:val="14"/>
              <w:numPr>
                <w:ilvl w:val="0"/>
                <w:numId w:val="2"/>
              </w:numPr>
              <w:spacing w:after="0" w:line="240" w:lineRule="auto"/>
              <w:ind w:left="318"/>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Кияк Т. Р., Науменко А. М., Огуй О. Д. Теорія і практика перекладу німецької мови. – Вінниця: Нова книга, 2006. – 596 с. </w:t>
            </w:r>
          </w:p>
          <w:p>
            <w:pPr>
              <w:pStyle w:val="19"/>
              <w:numPr>
                <w:ilvl w:val="0"/>
                <w:numId w:val="2"/>
              </w:numPr>
              <w:spacing w:after="23"/>
              <w:ind w:left="318"/>
              <w:rPr>
                <w:lang w:val="de-DE"/>
              </w:rPr>
            </w:pPr>
            <w:r>
              <w:rPr>
                <w:lang w:val="de-DE"/>
              </w:rPr>
              <w:t>Braun S. Kommunikation unter widrigen Umständen?</w:t>
            </w:r>
            <w:r>
              <w:t xml:space="preserve"> </w:t>
            </w:r>
            <w:r>
              <w:rPr>
                <w:lang w:val="de-DE"/>
              </w:rPr>
              <w:t>: Fallstudien zu einsprachigen und gedolmetschten Videokonferenzen. – Gunter Narr Verlag, 2004.</w:t>
            </w:r>
          </w:p>
          <w:p>
            <w:pPr>
              <w:pStyle w:val="19"/>
              <w:numPr>
                <w:ilvl w:val="0"/>
                <w:numId w:val="2"/>
              </w:numPr>
              <w:spacing w:after="23"/>
              <w:ind w:left="318"/>
              <w:rPr>
                <w:lang w:val="de-DE"/>
              </w:rPr>
            </w:pPr>
            <w:r>
              <w:rPr>
                <w:lang w:val="de-DE"/>
              </w:rPr>
              <w:t>Hering</w:t>
            </w:r>
            <w:r>
              <w:t xml:space="preserve"> А.</w:t>
            </w:r>
            <w:r>
              <w:rPr>
                <w:lang w:val="de-DE"/>
              </w:rPr>
              <w:t>, Matussek M. Geschäftskommunikation / A. Hering, M. Matussek. – Ismaning : Max Hueber Verlag, 1996.</w:t>
            </w:r>
          </w:p>
          <w:p>
            <w:pPr>
              <w:spacing w:after="0" w:line="240" w:lineRule="auto"/>
              <w:ind w:left="374"/>
              <w:rPr>
                <w:rFonts w:ascii="Times New Roman" w:hAnsi="Times New Roman" w:cs="Times New Roman"/>
                <w:bCs/>
                <w:spacing w:val="-6"/>
                <w:sz w:val="24"/>
              </w:rPr>
            </w:pPr>
          </w:p>
          <w:p>
            <w:pPr>
              <w:spacing w:after="0" w:line="240" w:lineRule="auto"/>
              <w:jc w:val="center"/>
              <w:rPr>
                <w:rFonts w:ascii="Times New Roman" w:hAnsi="Times New Roman" w:cs="Times New Roman"/>
                <w:b/>
                <w:bCs/>
                <w:i/>
                <w:spacing w:val="-6"/>
                <w:sz w:val="24"/>
              </w:rPr>
            </w:pPr>
            <w:r>
              <w:rPr>
                <w:rFonts w:ascii="Times New Roman" w:hAnsi="Times New Roman" w:cs="Times New Roman"/>
                <w:b/>
                <w:bCs/>
                <w:i/>
                <w:spacing w:val="-6"/>
                <w:sz w:val="24"/>
              </w:rPr>
              <w:t>Інтернет-ресурси</w:t>
            </w:r>
          </w:p>
          <w:p>
            <w:pPr>
              <w:pStyle w:val="14"/>
              <w:numPr>
                <w:ilvl w:val="0"/>
                <w:numId w:val="3"/>
              </w:numPr>
              <w:spacing w:after="0" w:line="240" w:lineRule="auto"/>
              <w:ind w:left="318"/>
              <w:jc w:val="both"/>
              <w:rPr>
                <w:rStyle w:val="9"/>
                <w:rFonts w:ascii="Times New Roman" w:hAnsi="Times New Roman" w:cs="Times New Roman"/>
                <w:color w:val="auto"/>
                <w:sz w:val="24"/>
                <w:szCs w:val="24"/>
                <w:u w:val="none"/>
              </w:rPr>
            </w:pPr>
            <w:r>
              <w:rPr>
                <w:rStyle w:val="9"/>
                <w:rFonts w:ascii="Times New Roman" w:hAnsi="Times New Roman" w:cs="Times New Roman"/>
                <w:color w:val="auto"/>
                <w:sz w:val="24"/>
                <w:szCs w:val="24"/>
                <w:u w:val="none"/>
              </w:rPr>
              <w:t>https://ec.europa.eu/info/departments/translation_de</w:t>
            </w:r>
          </w:p>
          <w:p>
            <w:pPr>
              <w:pStyle w:val="14"/>
              <w:numPr>
                <w:ilvl w:val="0"/>
                <w:numId w:val="3"/>
              </w:numPr>
              <w:spacing w:after="0" w:line="240" w:lineRule="auto"/>
              <w:ind w:left="318"/>
              <w:jc w:val="both"/>
              <w:rPr>
                <w:rStyle w:val="9"/>
                <w:rFonts w:ascii="Times New Roman" w:hAnsi="Times New Roman" w:cs="Times New Roman"/>
                <w:color w:val="auto"/>
                <w:sz w:val="24"/>
                <w:szCs w:val="24"/>
                <w:u w:val="none"/>
              </w:rPr>
            </w:pPr>
            <w:r>
              <w:rPr>
                <w:rStyle w:val="9"/>
                <w:rFonts w:ascii="Times New Roman" w:hAnsi="Times New Roman" w:cs="Times New Roman"/>
                <w:color w:val="auto"/>
                <w:sz w:val="24"/>
                <w:szCs w:val="24"/>
                <w:u w:val="none"/>
              </w:rPr>
              <w:t xml:space="preserve">https://www.bpb.de/politik/grundfragen/24-deutschland/40496/internationale-organisationen </w:t>
            </w:r>
          </w:p>
          <w:p>
            <w:pPr>
              <w:pStyle w:val="14"/>
              <w:numPr>
                <w:ilvl w:val="0"/>
                <w:numId w:val="3"/>
              </w:numPr>
              <w:spacing w:after="0" w:line="240" w:lineRule="auto"/>
              <w:ind w:left="318"/>
              <w:jc w:val="both"/>
              <w:rPr>
                <w:rFonts w:ascii="Times New Roman" w:hAnsi="Times New Roman" w:cs="Times New Roman"/>
                <w:bCs/>
                <w:spacing w:val="-6"/>
                <w:sz w:val="24"/>
              </w:rPr>
            </w:pPr>
            <w:r>
              <w:rPr>
                <w:rStyle w:val="9"/>
                <w:rFonts w:ascii="Times New Roman" w:hAnsi="Times New Roman" w:cs="Times New Roman"/>
                <w:color w:val="auto"/>
                <w:sz w:val="24"/>
                <w:szCs w:val="24"/>
                <w:u w:val="none"/>
              </w:rPr>
              <w:t>https://www.planet-schule.de/sf/php/sendungen.php?sendung=11009</w:t>
            </w:r>
            <w:r>
              <w:rPr>
                <w:rStyle w:val="9"/>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22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семестр (3)</w:t>
            </w:r>
            <w:r>
              <w:rPr>
                <w:rFonts w:ascii="Times New Roman" w:hAnsi="Times New Roman" w:cs="Times New Roman"/>
                <w:sz w:val="24"/>
                <w:szCs w:val="24"/>
                <w:lang w:val="de-DE"/>
              </w:rPr>
              <w:t xml:space="preserve">, </w:t>
            </w:r>
            <w:r>
              <w:rPr>
                <w:rFonts w:ascii="Times New Roman" w:hAnsi="Times New Roman" w:cs="Times New Roman"/>
                <w:sz w:val="24"/>
                <w:szCs w:val="24"/>
              </w:rPr>
              <w:t>90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229"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Загальна кількість годин – 90</w:t>
            </w:r>
            <w:r>
              <w:rPr>
                <w:rFonts w:ascii="Times New Roman" w:hAnsi="Times New Roman" w:cs="Times New Roman"/>
                <w:sz w:val="24"/>
                <w:szCs w:val="24"/>
                <w:lang w:val="ru-RU"/>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години аудиторних занять, з них </w:t>
            </w:r>
            <w:r>
              <w:rPr>
                <w:rFonts w:ascii="Times New Roman" w:hAnsi="Times New Roman" w:cs="Times New Roman"/>
                <w:sz w:val="24"/>
                <w:szCs w:val="24"/>
                <w:lang w:val="ru-RU"/>
              </w:rPr>
              <w:t>16</w:t>
            </w:r>
            <w:r>
              <w:rPr>
                <w:rFonts w:ascii="Times New Roman" w:hAnsi="Times New Roman" w:cs="Times New Roman"/>
                <w:sz w:val="24"/>
                <w:szCs w:val="24"/>
              </w:rPr>
              <w:t xml:space="preserve"> годин лекцій, </w:t>
            </w:r>
            <w:r>
              <w:rPr>
                <w:rFonts w:ascii="Times New Roman" w:hAnsi="Times New Roman" w:cs="Times New Roman"/>
                <w:sz w:val="24"/>
                <w:szCs w:val="24"/>
                <w:lang w:val="ru-RU"/>
              </w:rPr>
              <w:t>16</w:t>
            </w:r>
            <w:r>
              <w:rPr>
                <w:rFonts w:ascii="Times New Roman" w:hAnsi="Times New Roman" w:cs="Times New Roman"/>
                <w:sz w:val="24"/>
                <w:szCs w:val="24"/>
              </w:rPr>
              <w:t xml:space="preserve"> годин практичних занять. 58 годин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229"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знати</w:t>
            </w:r>
            <w:r>
              <w:rPr>
                <w:rFonts w:ascii="Times New Roman" w:hAnsi="Times New Roman" w:cs="Times New Roman"/>
                <w:sz w:val="24"/>
              </w:rPr>
              <w:t>:</w:t>
            </w:r>
          </w:p>
          <w:p>
            <w:pPr>
              <w:pStyle w:val="14"/>
              <w:numPr>
                <w:ilvl w:val="0"/>
                <w:numId w:val="4"/>
              </w:numPr>
              <w:tabs>
                <w:tab w:val="left" w:pos="284"/>
                <w:tab w:val="left" w:pos="567"/>
              </w:tabs>
              <w:spacing w:after="0" w:line="240" w:lineRule="auto"/>
              <w:ind w:left="318"/>
              <w:jc w:val="both"/>
              <w:rPr>
                <w:rFonts w:ascii="Times New Roman" w:hAnsi="Times New Roman" w:cs="Times New Roman"/>
                <w:sz w:val="24"/>
              </w:rPr>
            </w:pPr>
            <w:r>
              <w:rPr>
                <w:rFonts w:ascii="Times New Roman" w:hAnsi="Times New Roman" w:cs="Times New Roman"/>
                <w:sz w:val="24"/>
              </w:rPr>
              <w:t xml:space="preserve">принципи взаємодії мови, суспільства та його культури та основні теоретичні та практичні засади для здійснення ефективного комунікативного акту; </w:t>
            </w:r>
          </w:p>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вміти</w:t>
            </w:r>
            <w:r>
              <w:rPr>
                <w:rFonts w:ascii="Times New Roman" w:hAnsi="Times New Roman" w:cs="Times New Roman"/>
                <w:sz w:val="24"/>
              </w:rPr>
              <w:t xml:space="preserve">: </w:t>
            </w:r>
          </w:p>
          <w:p>
            <w:pPr>
              <w:numPr>
                <w:ilvl w:val="0"/>
                <w:numId w:val="5"/>
              </w:numPr>
              <w:tabs>
                <w:tab w:val="left" w:pos="284"/>
                <w:tab w:val="left" w:pos="313"/>
              </w:tabs>
              <w:spacing w:after="0" w:line="240" w:lineRule="auto"/>
              <w:ind w:left="318"/>
              <w:jc w:val="both"/>
              <w:rPr>
                <w:rFonts w:ascii="Times New Roman" w:hAnsi="Times New Roman" w:cs="Times New Roman"/>
                <w:sz w:val="24"/>
              </w:rPr>
            </w:pPr>
            <w:r>
              <w:rPr>
                <w:rFonts w:ascii="Times New Roman" w:hAnsi="Times New Roman" w:cs="Times New Roman"/>
                <w:sz w:val="24"/>
              </w:rPr>
              <w:t xml:space="preserve">розрізняти різні типи комунікативних ситуацій, їхні соціолінгвістичні особливості; </w:t>
            </w:r>
          </w:p>
          <w:p>
            <w:pPr>
              <w:numPr>
                <w:ilvl w:val="0"/>
                <w:numId w:val="5"/>
              </w:numPr>
              <w:tabs>
                <w:tab w:val="left" w:pos="284"/>
                <w:tab w:val="left" w:pos="313"/>
              </w:tabs>
              <w:spacing w:after="0" w:line="240" w:lineRule="auto"/>
              <w:ind w:left="318"/>
              <w:jc w:val="both"/>
              <w:rPr>
                <w:rFonts w:ascii="Times New Roman" w:hAnsi="Times New Roman" w:cs="Times New Roman"/>
                <w:sz w:val="24"/>
              </w:rPr>
            </w:pPr>
            <w:r>
              <w:rPr>
                <w:rFonts w:ascii="Times New Roman" w:hAnsi="Times New Roman" w:cs="Times New Roman"/>
                <w:sz w:val="24"/>
              </w:rPr>
              <w:t xml:space="preserve">застосовувати в усному та письмовому мовленні у відповідності до стилістичної норми мовно-стилістичні засоби, культурно-марковані одиниці; </w:t>
            </w:r>
          </w:p>
          <w:p>
            <w:pPr>
              <w:numPr>
                <w:ilvl w:val="0"/>
                <w:numId w:val="5"/>
              </w:numPr>
              <w:tabs>
                <w:tab w:val="left" w:pos="284"/>
                <w:tab w:val="left" w:pos="313"/>
              </w:tabs>
              <w:spacing w:after="0" w:line="240" w:lineRule="auto"/>
              <w:ind w:left="318"/>
              <w:jc w:val="both"/>
              <w:rPr>
                <w:rFonts w:ascii="Times New Roman" w:hAnsi="Times New Roman" w:cs="Times New Roman"/>
                <w:sz w:val="24"/>
                <w:szCs w:val="24"/>
              </w:rPr>
            </w:pPr>
            <w:r>
              <w:rPr>
                <w:rFonts w:ascii="Times New Roman" w:hAnsi="Times New Roman" w:cs="Times New Roman"/>
                <w:sz w:val="24"/>
              </w:rPr>
              <w:t xml:space="preserve">застосовувати в усному та письмовому мовленні оптимальні способи відтворення комунікативних стратегій у перекладі.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Комунікація, переклад, </w:t>
            </w:r>
            <w:r>
              <w:rPr>
                <w:rFonts w:ascii="Times New Roman" w:hAnsi="Times New Roman" w:cs="Times New Roman"/>
                <w:sz w:val="24"/>
              </w:rPr>
              <w:t>культурно-маркована одиниця, комунікативна ситуація.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лекцій,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 в кінці семестру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Виставляється автоматично на підставі врахування поточної успішності протягом семестру.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вивчення курсу студенти потребують базових знань з таких дисциплін: «Перша іноземна мова», «Вступ до мовознавства», «Вступ до спеціальності», достатніх для сприйняття категоріального апарату в рамках дисципліни «</w:t>
            </w:r>
            <w:r>
              <w:rPr>
                <w:rFonts w:ascii="Times New Roman" w:hAnsi="Times New Roman" w:cs="Times New Roman"/>
                <w:bCs/>
                <w:sz w:val="24"/>
                <w:szCs w:val="24"/>
              </w:rPr>
              <w:t>Відтворення комунікативних стратегій у перекладі</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і проектор.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залік на основі оцінок, які він/вона отримав/ла за відповіді на практичних заняттях. Оцінювання проводиться за 100-бальною шкалою.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практичні заняття: 50% семестрової оцінки; максимальна кількість балів – 50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дві модульні контрольні роботи: 20% семестрової оцінки; максимальна кількість балів – 20 балів (2 х 10);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відвідування аудиторних занять: 10% семестрової оцінки; максимальна кількість балів – 10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самостійна робота: 20% семестрової оцінки; максимальна кількість балів – 20 балів.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 оформляється шляхом сумування одержаних студентом балів за усі види навчальної діяльності.</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cs="Times New Roman"/>
                <w:sz w:val="24"/>
                <w:szCs w:val="24"/>
              </w:rPr>
            </w:pPr>
          </w:p>
          <w:p>
            <w:pPr>
              <w:pStyle w:val="6"/>
              <w:jc w:val="center"/>
              <w:rPr>
                <w:b/>
                <w:bCs/>
                <w:sz w:val="24"/>
                <w:lang w:val="uk-UA"/>
              </w:rPr>
            </w:pPr>
            <w:r>
              <w:rPr>
                <w:b/>
                <w:bCs/>
                <w:sz w:val="24"/>
                <w:lang w:val="uk-UA"/>
              </w:rPr>
              <w:t>Шкала оцінювання модульної контрольної роботи</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4"/>
              <w:gridCol w:w="3569"/>
            </w:tblGrid>
            <w:tr>
              <w:tc>
                <w:tcPr>
                  <w:tcW w:w="4261" w:type="dxa"/>
                </w:tcPr>
                <w:p>
                  <w:pPr>
                    <w:pStyle w:val="6"/>
                    <w:rPr>
                      <w:b/>
                      <w:bCs/>
                      <w:sz w:val="24"/>
                      <w:lang w:val="uk-UA"/>
                    </w:rPr>
                  </w:pPr>
                  <w:r>
                    <w:rPr>
                      <w:b/>
                      <w:bCs/>
                      <w:sz w:val="24"/>
                      <w:lang w:val="uk-UA"/>
                    </w:rPr>
                    <w:t>Кількість балів</w:t>
                  </w:r>
                </w:p>
              </w:tc>
              <w:tc>
                <w:tcPr>
                  <w:tcW w:w="4261" w:type="dxa"/>
                </w:tcPr>
                <w:p>
                  <w:pPr>
                    <w:pStyle w:val="6"/>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10</w:t>
                  </w:r>
                </w:p>
              </w:tc>
              <w:tc>
                <w:tcPr>
                  <w:tcW w:w="4261" w:type="dxa"/>
                </w:tcPr>
                <w:p>
                  <w:pPr>
                    <w:pStyle w:val="6"/>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9</w:t>
                  </w:r>
                </w:p>
              </w:tc>
              <w:tc>
                <w:tcPr>
                  <w:tcW w:w="4261" w:type="dxa"/>
                </w:tcPr>
                <w:p>
                  <w:pPr>
                    <w:pStyle w:val="6"/>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8</w:t>
                  </w:r>
                </w:p>
              </w:tc>
              <w:tc>
                <w:tcPr>
                  <w:tcW w:w="4261" w:type="dxa"/>
                </w:tcPr>
                <w:p>
                  <w:pPr>
                    <w:pStyle w:val="6"/>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7</w:t>
                  </w:r>
                </w:p>
              </w:tc>
              <w:tc>
                <w:tcPr>
                  <w:tcW w:w="4261" w:type="dxa"/>
                </w:tcPr>
                <w:p>
                  <w:pPr>
                    <w:pStyle w:val="6"/>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6</w:t>
                  </w:r>
                </w:p>
              </w:tc>
              <w:tc>
                <w:tcPr>
                  <w:tcW w:w="4261" w:type="dxa"/>
                </w:tcPr>
                <w:p>
                  <w:pPr>
                    <w:pStyle w:val="6"/>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5</w:t>
                  </w:r>
                </w:p>
              </w:tc>
              <w:tc>
                <w:tcPr>
                  <w:tcW w:w="4261" w:type="dxa"/>
                </w:tcPr>
                <w:p>
                  <w:pPr>
                    <w:pStyle w:val="6"/>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4</w:t>
                  </w:r>
                </w:p>
              </w:tc>
              <w:tc>
                <w:tcPr>
                  <w:tcW w:w="4261" w:type="dxa"/>
                </w:tcPr>
                <w:p>
                  <w:pPr>
                    <w:pStyle w:val="6"/>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3</w:t>
                  </w:r>
                </w:p>
              </w:tc>
              <w:tc>
                <w:tcPr>
                  <w:tcW w:w="4261" w:type="dxa"/>
                </w:tcPr>
                <w:p>
                  <w:pPr>
                    <w:pStyle w:val="6"/>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2</w:t>
                  </w:r>
                </w:p>
              </w:tc>
              <w:tc>
                <w:tcPr>
                  <w:tcW w:w="4261" w:type="dxa"/>
                </w:tcPr>
                <w:p>
                  <w:pPr>
                    <w:pStyle w:val="6"/>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1</w:t>
                  </w:r>
                </w:p>
              </w:tc>
              <w:tc>
                <w:tcPr>
                  <w:tcW w:w="4261" w:type="dxa"/>
                </w:tcPr>
                <w:p>
                  <w:pPr>
                    <w:pStyle w:val="6"/>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0</w:t>
                  </w:r>
                </w:p>
              </w:tc>
              <w:tc>
                <w:tcPr>
                  <w:tcW w:w="4261" w:type="dxa"/>
                </w:tcPr>
                <w:p>
                  <w:pPr>
                    <w:pStyle w:val="6"/>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w:t>
            </w:r>
            <w:r>
              <w:rPr>
                <w:rFonts w:ascii="Times New Roman" w:hAnsi="Times New Roman" w:cs="Times New Roman"/>
                <w:bCs/>
                <w:sz w:val="24"/>
                <w:szCs w:val="24"/>
              </w:rPr>
              <w:t>Відтворення комунікативних стратегій у перекладі</w:t>
            </w:r>
            <w:r>
              <w:rPr>
                <w:rFonts w:ascii="Times New Roman" w:hAnsi="Times New Roman" w:cs="Times New Roman"/>
                <w:sz w:val="24"/>
                <w:szCs w:val="24"/>
              </w:rPr>
              <w:t>». Зміст СРС з дисципліни «</w:t>
            </w:r>
            <w:r>
              <w:rPr>
                <w:rFonts w:ascii="Times New Roman" w:hAnsi="Times New Roman" w:cs="Times New Roman"/>
                <w:bCs/>
                <w:sz w:val="24"/>
                <w:szCs w:val="24"/>
              </w:rPr>
              <w:t>Відтворення комунікативних стратегій у перекладі</w:t>
            </w:r>
            <w:r>
              <w:rPr>
                <w:rFonts w:ascii="Times New Roman" w:hAnsi="Times New Roman" w:cs="Times New Roman"/>
                <w:sz w:val="24"/>
                <w:szCs w:val="24"/>
              </w:rPr>
              <w:t>»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тренування перекладацьких навичок на основі вільного вибору матеріалів; підготовка до контрольних робіт. Очікується, що протягом семестру кожен студент представить викладачеві щонайменше 2 роботи, передбачені планом на самостійне виконання.</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Відвідування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229" w:type="dxa"/>
          </w:tcPr>
          <w:p>
            <w:pPr>
              <w:tabs>
                <w:tab w:val="left" w:pos="284"/>
                <w:tab w:val="left" w:pos="567"/>
              </w:tabs>
              <w:spacing w:after="0" w:line="240" w:lineRule="auto"/>
              <w:jc w:val="both"/>
              <w:rPr>
                <w:rFonts w:ascii="Times New Roman" w:hAnsi="Times New Roman" w:eastAsia="TimesNewRoman" w:cs="Times New Roman"/>
                <w:sz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22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pStyle w:val="6"/>
        <w:ind w:firstLine="708"/>
        <w:jc w:val="both"/>
        <w:rPr>
          <w:b/>
          <w:bCs/>
          <w:sz w:val="24"/>
          <w:lang w:val="uk-UA"/>
        </w:rPr>
      </w:pPr>
    </w:p>
    <w:p>
      <w:pPr>
        <w:ind w:left="426"/>
        <w:jc w:val="both"/>
        <w:rPr>
          <w:rFonts w:ascii="Times New Roman" w:hAnsi="Times New Roman" w:cs="Times New Roman"/>
          <w:bCs/>
          <w:spacing w:val="-6"/>
          <w:sz w:val="24"/>
        </w:rPr>
      </w:pPr>
    </w:p>
    <w:p>
      <w:pPr>
        <w:ind w:left="426"/>
        <w:jc w:val="both"/>
        <w:rPr>
          <w:rFonts w:ascii="Times New Roman" w:hAnsi="Times New Roman" w:cs="Times New Roman"/>
          <w:bCs/>
          <w:spacing w:val="-6"/>
          <w:sz w:val="24"/>
        </w:rPr>
      </w:pPr>
    </w:p>
    <w:p>
      <w:pPr>
        <w:jc w:val="both"/>
        <w:rPr>
          <w:rFonts w:ascii="Times New Roman" w:hAnsi="Times New Roman" w:cs="Times New Roman"/>
          <w:b/>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Tahoma">
    <w:panose1 w:val="020B0804030504040204"/>
    <w:charset w:val="CC"/>
    <w:family w:val="swiss"/>
    <w:pitch w:val="default"/>
    <w:sig w:usb0="E1002AFF" w:usb1="C000605B" w:usb2="00000029" w:usb3="00000000" w:csb0="200101FF" w:csb1="20280000"/>
  </w:font>
  <w:font w:name="TimesNewRoman">
    <w:altName w:val="Hiragino Sans"/>
    <w:panose1 w:val="00000000000000000000"/>
    <w:charset w:val="80"/>
    <w:family w:val="auto"/>
    <w:pitch w:val="default"/>
    <w:sig w:usb0="00000000" w:usb1="00000000" w:usb2="00000010" w:usb3="00000000" w:csb0="0002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32A"/>
    <w:multiLevelType w:val="multilevel"/>
    <w:tmpl w:val="1885532A"/>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1BC6337A"/>
    <w:multiLevelType w:val="multilevel"/>
    <w:tmpl w:val="1BC633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C5C069E"/>
    <w:multiLevelType w:val="multilevel"/>
    <w:tmpl w:val="2C5C069E"/>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3">
    <w:nsid w:val="39566AB7"/>
    <w:multiLevelType w:val="multilevel"/>
    <w:tmpl w:val="39566AB7"/>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55D179CC"/>
    <w:multiLevelType w:val="multilevel"/>
    <w:tmpl w:val="55D179C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051D5"/>
    <w:rsid w:val="000142D5"/>
    <w:rsid w:val="0001550E"/>
    <w:rsid w:val="00022CAB"/>
    <w:rsid w:val="00035310"/>
    <w:rsid w:val="000474BE"/>
    <w:rsid w:val="00060228"/>
    <w:rsid w:val="000668B0"/>
    <w:rsid w:val="000838A5"/>
    <w:rsid w:val="00086DF1"/>
    <w:rsid w:val="00090C59"/>
    <w:rsid w:val="000963DC"/>
    <w:rsid w:val="000968BD"/>
    <w:rsid w:val="000B0008"/>
    <w:rsid w:val="000B4E98"/>
    <w:rsid w:val="000C3454"/>
    <w:rsid w:val="000C7AF7"/>
    <w:rsid w:val="000D69EC"/>
    <w:rsid w:val="000E5773"/>
    <w:rsid w:val="000E6ABA"/>
    <w:rsid w:val="000F1E7C"/>
    <w:rsid w:val="00110FFE"/>
    <w:rsid w:val="00112DF1"/>
    <w:rsid w:val="001220E5"/>
    <w:rsid w:val="0013312D"/>
    <w:rsid w:val="00147CA5"/>
    <w:rsid w:val="001512F1"/>
    <w:rsid w:val="00154C3D"/>
    <w:rsid w:val="001666C5"/>
    <w:rsid w:val="00170AD3"/>
    <w:rsid w:val="00176B94"/>
    <w:rsid w:val="001823C7"/>
    <w:rsid w:val="00186BB9"/>
    <w:rsid w:val="001A3CC0"/>
    <w:rsid w:val="001B5012"/>
    <w:rsid w:val="001C2E13"/>
    <w:rsid w:val="001C4800"/>
    <w:rsid w:val="001C55EE"/>
    <w:rsid w:val="001E036B"/>
    <w:rsid w:val="0020008C"/>
    <w:rsid w:val="00200813"/>
    <w:rsid w:val="00201FA3"/>
    <w:rsid w:val="0023189C"/>
    <w:rsid w:val="00246A5B"/>
    <w:rsid w:val="00255CCF"/>
    <w:rsid w:val="002567B2"/>
    <w:rsid w:val="002621B5"/>
    <w:rsid w:val="00265AB9"/>
    <w:rsid w:val="00291490"/>
    <w:rsid w:val="00294E8A"/>
    <w:rsid w:val="0029693D"/>
    <w:rsid w:val="0029704F"/>
    <w:rsid w:val="002B5D05"/>
    <w:rsid w:val="002B5E45"/>
    <w:rsid w:val="002C1578"/>
    <w:rsid w:val="002C3E1A"/>
    <w:rsid w:val="002D5447"/>
    <w:rsid w:val="002D6EAC"/>
    <w:rsid w:val="002E398D"/>
    <w:rsid w:val="002F3A04"/>
    <w:rsid w:val="0031763F"/>
    <w:rsid w:val="00324625"/>
    <w:rsid w:val="003246E9"/>
    <w:rsid w:val="003520DA"/>
    <w:rsid w:val="00353240"/>
    <w:rsid w:val="003607B5"/>
    <w:rsid w:val="00371166"/>
    <w:rsid w:val="0037198D"/>
    <w:rsid w:val="00372487"/>
    <w:rsid w:val="00373CA9"/>
    <w:rsid w:val="003758AD"/>
    <w:rsid w:val="00377564"/>
    <w:rsid w:val="0039467C"/>
    <w:rsid w:val="00395881"/>
    <w:rsid w:val="00395883"/>
    <w:rsid w:val="003A1B35"/>
    <w:rsid w:val="003A6AE1"/>
    <w:rsid w:val="003B2BD1"/>
    <w:rsid w:val="003B701F"/>
    <w:rsid w:val="003C59C0"/>
    <w:rsid w:val="003E78EB"/>
    <w:rsid w:val="003F2FD8"/>
    <w:rsid w:val="003F33AF"/>
    <w:rsid w:val="003F75A8"/>
    <w:rsid w:val="004113ED"/>
    <w:rsid w:val="00421927"/>
    <w:rsid w:val="004229F5"/>
    <w:rsid w:val="00442BF4"/>
    <w:rsid w:val="004563A3"/>
    <w:rsid w:val="00464607"/>
    <w:rsid w:val="00474594"/>
    <w:rsid w:val="00484403"/>
    <w:rsid w:val="00487750"/>
    <w:rsid w:val="004A4E9E"/>
    <w:rsid w:val="004B44E4"/>
    <w:rsid w:val="004C37DA"/>
    <w:rsid w:val="004D224B"/>
    <w:rsid w:val="004D5660"/>
    <w:rsid w:val="00530816"/>
    <w:rsid w:val="00531126"/>
    <w:rsid w:val="0053225B"/>
    <w:rsid w:val="00543A92"/>
    <w:rsid w:val="00571E70"/>
    <w:rsid w:val="005807AF"/>
    <w:rsid w:val="005839FE"/>
    <w:rsid w:val="005871A6"/>
    <w:rsid w:val="00592810"/>
    <w:rsid w:val="005A7553"/>
    <w:rsid w:val="005A7AA5"/>
    <w:rsid w:val="005B3A52"/>
    <w:rsid w:val="005D299E"/>
    <w:rsid w:val="005D462F"/>
    <w:rsid w:val="005E430C"/>
    <w:rsid w:val="005E53B6"/>
    <w:rsid w:val="005E5599"/>
    <w:rsid w:val="005F3825"/>
    <w:rsid w:val="005F606F"/>
    <w:rsid w:val="00610724"/>
    <w:rsid w:val="00622338"/>
    <w:rsid w:val="0063013B"/>
    <w:rsid w:val="00632662"/>
    <w:rsid w:val="00633166"/>
    <w:rsid w:val="006348E4"/>
    <w:rsid w:val="00654A86"/>
    <w:rsid w:val="00661710"/>
    <w:rsid w:val="0069280A"/>
    <w:rsid w:val="006B39B6"/>
    <w:rsid w:val="006C5C0A"/>
    <w:rsid w:val="006D2B4B"/>
    <w:rsid w:val="006E0793"/>
    <w:rsid w:val="006E2869"/>
    <w:rsid w:val="006E7259"/>
    <w:rsid w:val="006F2872"/>
    <w:rsid w:val="006F7E05"/>
    <w:rsid w:val="007233EF"/>
    <w:rsid w:val="00740E45"/>
    <w:rsid w:val="00745231"/>
    <w:rsid w:val="00753E89"/>
    <w:rsid w:val="00757015"/>
    <w:rsid w:val="00766C01"/>
    <w:rsid w:val="0078790E"/>
    <w:rsid w:val="00787BB8"/>
    <w:rsid w:val="007912E9"/>
    <w:rsid w:val="007944E8"/>
    <w:rsid w:val="007D65B8"/>
    <w:rsid w:val="007E0872"/>
    <w:rsid w:val="007E2646"/>
    <w:rsid w:val="007F2861"/>
    <w:rsid w:val="007F53EC"/>
    <w:rsid w:val="008135AD"/>
    <w:rsid w:val="00846175"/>
    <w:rsid w:val="00856E0C"/>
    <w:rsid w:val="00872736"/>
    <w:rsid w:val="008733B0"/>
    <w:rsid w:val="00873F85"/>
    <w:rsid w:val="008809E8"/>
    <w:rsid w:val="00880BAC"/>
    <w:rsid w:val="00886C22"/>
    <w:rsid w:val="008A52E3"/>
    <w:rsid w:val="008B7AB3"/>
    <w:rsid w:val="008C3905"/>
    <w:rsid w:val="008C740E"/>
    <w:rsid w:val="008D5CEE"/>
    <w:rsid w:val="008E212B"/>
    <w:rsid w:val="008F1502"/>
    <w:rsid w:val="008F65D3"/>
    <w:rsid w:val="008F7638"/>
    <w:rsid w:val="00906503"/>
    <w:rsid w:val="00912931"/>
    <w:rsid w:val="00912D1B"/>
    <w:rsid w:val="009216B8"/>
    <w:rsid w:val="00926690"/>
    <w:rsid w:val="00935EF9"/>
    <w:rsid w:val="00945524"/>
    <w:rsid w:val="00963DF3"/>
    <w:rsid w:val="00976026"/>
    <w:rsid w:val="00987105"/>
    <w:rsid w:val="00993FCD"/>
    <w:rsid w:val="00995A90"/>
    <w:rsid w:val="009C02DF"/>
    <w:rsid w:val="009F3413"/>
    <w:rsid w:val="00A06637"/>
    <w:rsid w:val="00A11B5D"/>
    <w:rsid w:val="00A14F99"/>
    <w:rsid w:val="00A20961"/>
    <w:rsid w:val="00A22147"/>
    <w:rsid w:val="00A36AEE"/>
    <w:rsid w:val="00A40F5A"/>
    <w:rsid w:val="00A65B9E"/>
    <w:rsid w:val="00A72D32"/>
    <w:rsid w:val="00AA3454"/>
    <w:rsid w:val="00AB31FF"/>
    <w:rsid w:val="00AC5066"/>
    <w:rsid w:val="00AC64BF"/>
    <w:rsid w:val="00AD5B28"/>
    <w:rsid w:val="00AD6D50"/>
    <w:rsid w:val="00B01F90"/>
    <w:rsid w:val="00B03BF7"/>
    <w:rsid w:val="00B13D0F"/>
    <w:rsid w:val="00B16DDD"/>
    <w:rsid w:val="00B176C7"/>
    <w:rsid w:val="00B17A00"/>
    <w:rsid w:val="00B21F1D"/>
    <w:rsid w:val="00B46BC2"/>
    <w:rsid w:val="00B529A2"/>
    <w:rsid w:val="00B5602C"/>
    <w:rsid w:val="00B70E20"/>
    <w:rsid w:val="00B7661F"/>
    <w:rsid w:val="00B76F7A"/>
    <w:rsid w:val="00B82652"/>
    <w:rsid w:val="00B83657"/>
    <w:rsid w:val="00B900AD"/>
    <w:rsid w:val="00B92B1E"/>
    <w:rsid w:val="00B96B32"/>
    <w:rsid w:val="00BA0648"/>
    <w:rsid w:val="00BA5AF6"/>
    <w:rsid w:val="00BB7A0C"/>
    <w:rsid w:val="00BC3238"/>
    <w:rsid w:val="00BD09E5"/>
    <w:rsid w:val="00BD58B9"/>
    <w:rsid w:val="00BD6F19"/>
    <w:rsid w:val="00BE36CD"/>
    <w:rsid w:val="00BF0DCC"/>
    <w:rsid w:val="00BF379C"/>
    <w:rsid w:val="00C15F59"/>
    <w:rsid w:val="00C173A1"/>
    <w:rsid w:val="00C228A4"/>
    <w:rsid w:val="00C32AC1"/>
    <w:rsid w:val="00C40C95"/>
    <w:rsid w:val="00C54FB1"/>
    <w:rsid w:val="00C60DCF"/>
    <w:rsid w:val="00C65C7B"/>
    <w:rsid w:val="00C65F69"/>
    <w:rsid w:val="00C75674"/>
    <w:rsid w:val="00C80F24"/>
    <w:rsid w:val="00C81BD4"/>
    <w:rsid w:val="00C85589"/>
    <w:rsid w:val="00C85CB8"/>
    <w:rsid w:val="00C95DBF"/>
    <w:rsid w:val="00CA0EED"/>
    <w:rsid w:val="00CA1B66"/>
    <w:rsid w:val="00CA28E7"/>
    <w:rsid w:val="00CA43D1"/>
    <w:rsid w:val="00CE0A75"/>
    <w:rsid w:val="00CE0BC8"/>
    <w:rsid w:val="00CF0147"/>
    <w:rsid w:val="00CF38FE"/>
    <w:rsid w:val="00CF7B63"/>
    <w:rsid w:val="00D1431A"/>
    <w:rsid w:val="00D25775"/>
    <w:rsid w:val="00D4199B"/>
    <w:rsid w:val="00D42B62"/>
    <w:rsid w:val="00D44328"/>
    <w:rsid w:val="00D44F54"/>
    <w:rsid w:val="00D46615"/>
    <w:rsid w:val="00D46B73"/>
    <w:rsid w:val="00D53949"/>
    <w:rsid w:val="00D56BFF"/>
    <w:rsid w:val="00D61AB9"/>
    <w:rsid w:val="00D66059"/>
    <w:rsid w:val="00D72547"/>
    <w:rsid w:val="00D72CF1"/>
    <w:rsid w:val="00D7410C"/>
    <w:rsid w:val="00DA4300"/>
    <w:rsid w:val="00DB10D9"/>
    <w:rsid w:val="00DC3EF4"/>
    <w:rsid w:val="00DD44B6"/>
    <w:rsid w:val="00DD49E4"/>
    <w:rsid w:val="00DD5365"/>
    <w:rsid w:val="00DE1CFF"/>
    <w:rsid w:val="00DE4E6F"/>
    <w:rsid w:val="00DF618D"/>
    <w:rsid w:val="00E03272"/>
    <w:rsid w:val="00E0490E"/>
    <w:rsid w:val="00E05661"/>
    <w:rsid w:val="00E21327"/>
    <w:rsid w:val="00E22534"/>
    <w:rsid w:val="00E271CB"/>
    <w:rsid w:val="00E31667"/>
    <w:rsid w:val="00E33C03"/>
    <w:rsid w:val="00E51E49"/>
    <w:rsid w:val="00E67BA0"/>
    <w:rsid w:val="00E95668"/>
    <w:rsid w:val="00EA5BBB"/>
    <w:rsid w:val="00EC47B3"/>
    <w:rsid w:val="00ED0B47"/>
    <w:rsid w:val="00ED4A1E"/>
    <w:rsid w:val="00ED679D"/>
    <w:rsid w:val="00EE1595"/>
    <w:rsid w:val="00EE3967"/>
    <w:rsid w:val="00EF2C86"/>
    <w:rsid w:val="00EF37F4"/>
    <w:rsid w:val="00F0134F"/>
    <w:rsid w:val="00F12707"/>
    <w:rsid w:val="00F20A92"/>
    <w:rsid w:val="00F23949"/>
    <w:rsid w:val="00F30B3E"/>
    <w:rsid w:val="00F56245"/>
    <w:rsid w:val="00F57A38"/>
    <w:rsid w:val="00F57AEF"/>
    <w:rsid w:val="00F622CF"/>
    <w:rsid w:val="00F66F80"/>
    <w:rsid w:val="00F77C6B"/>
    <w:rsid w:val="00FA030D"/>
    <w:rsid w:val="00FA2FDA"/>
    <w:rsid w:val="00FA4709"/>
    <w:rsid w:val="00FA656E"/>
    <w:rsid w:val="00FC6300"/>
    <w:rsid w:val="00FC74B7"/>
    <w:rsid w:val="00FD2F64"/>
    <w:rsid w:val="00FD6660"/>
    <w:rsid w:val="00FD7C58"/>
    <w:rsid w:val="00FF58ED"/>
    <w:rsid w:val="00FF68F5"/>
    <w:rsid w:val="27C76CA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2"/>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5"/>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7"/>
    <w:basedOn w:val="1"/>
    <w:next w:val="1"/>
    <w:link w:val="16"/>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Balloon Text"/>
    <w:basedOn w:val="1"/>
    <w:link w:val="18"/>
    <w:unhideWhenUsed/>
    <w:qFormat/>
    <w:uiPriority w:val="99"/>
    <w:pPr>
      <w:spacing w:after="0" w:line="240" w:lineRule="auto"/>
    </w:pPr>
    <w:rPr>
      <w:rFonts w:ascii="Tahoma" w:hAnsi="Tahoma" w:cs="Tahoma"/>
      <w:sz w:val="16"/>
      <w:szCs w:val="16"/>
    </w:rPr>
  </w:style>
  <w:style w:type="paragraph" w:styleId="6">
    <w:name w:val="Body Text"/>
    <w:basedOn w:val="1"/>
    <w:link w:val="17"/>
    <w:qFormat/>
    <w:uiPriority w:val="0"/>
    <w:pPr>
      <w:spacing w:after="120" w:line="240" w:lineRule="auto"/>
    </w:pPr>
    <w:rPr>
      <w:rFonts w:ascii="Times New Roman" w:hAnsi="Times New Roman" w:eastAsia="Times New Roman" w:cs="Times New Roman"/>
      <w:sz w:val="28"/>
      <w:szCs w:val="24"/>
      <w:lang w:val="ru-RU" w:eastAsia="ru-RU"/>
    </w:rPr>
  </w:style>
  <w:style w:type="character" w:styleId="8">
    <w:name w:val="FollowedHyperlink"/>
    <w:basedOn w:val="7"/>
    <w:unhideWhenUsed/>
    <w:qFormat/>
    <w:uiPriority w:val="99"/>
    <w:rPr>
      <w:color w:val="800080" w:themeColor="followedHyperlink"/>
      <w:u w:val="single"/>
      <w14:textFill>
        <w14:solidFill>
          <w14:schemeClr w14:val="folHlink"/>
        </w14:solidFill>
      </w14:textFill>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Заголовок 1 Знак"/>
    <w:basedOn w:val="7"/>
    <w:link w:val="2"/>
    <w:qFormat/>
    <w:uiPriority w:val="0"/>
    <w:rPr>
      <w:rFonts w:ascii="Times New Roman" w:hAnsi="Times New Roman" w:eastAsia="Times New Roman" w:cs="Times New Roman"/>
      <w:sz w:val="32"/>
      <w:szCs w:val="24"/>
      <w:lang w:eastAsia="ru-RU"/>
    </w:rPr>
  </w:style>
  <w:style w:type="paragraph" w:customStyle="1" w:styleId="13">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4">
    <w:name w:val="List Paragraph"/>
    <w:basedOn w:val="1"/>
    <w:qFormat/>
    <w:uiPriority w:val="34"/>
    <w:pPr>
      <w:ind w:left="720"/>
      <w:contextualSpacing/>
    </w:pPr>
  </w:style>
  <w:style w:type="character" w:customStyle="1" w:styleId="15">
    <w:name w:val="Заголовок 4 Знак"/>
    <w:basedOn w:val="7"/>
    <w:link w:val="3"/>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6">
    <w:name w:val="Заголовок 7 Знак"/>
    <w:basedOn w:val="7"/>
    <w:link w:val="4"/>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7">
    <w:name w:val="Основний текст Знак"/>
    <w:basedOn w:val="7"/>
    <w:link w:val="6"/>
    <w:qFormat/>
    <w:uiPriority w:val="0"/>
    <w:rPr>
      <w:rFonts w:ascii="Times New Roman" w:hAnsi="Times New Roman" w:eastAsia="Times New Roman" w:cs="Times New Roman"/>
      <w:sz w:val="28"/>
      <w:szCs w:val="24"/>
      <w:lang w:val="ru-RU" w:eastAsia="ru-RU"/>
    </w:rPr>
  </w:style>
  <w:style w:type="character" w:customStyle="1" w:styleId="18">
    <w:name w:val="Текст у виносці Знак"/>
    <w:basedOn w:val="7"/>
    <w:link w:val="5"/>
    <w:semiHidden/>
    <w:qFormat/>
    <w:uiPriority w:val="99"/>
    <w:rPr>
      <w:rFonts w:ascii="Tahoma" w:hAnsi="Tahoma" w:cs="Tahoma"/>
      <w:sz w:val="16"/>
      <w:szCs w:val="16"/>
    </w:rPr>
  </w:style>
  <w:style w:type="paragraph" w:customStyle="1" w:styleId="1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8912</Words>
  <Characters>5080</Characters>
  <Lines>42</Lines>
  <Paragraphs>27</Paragraphs>
  <TotalTime>0</TotalTime>
  <ScaleCrop>false</ScaleCrop>
  <LinksUpToDate>false</LinksUpToDate>
  <CharactersWithSpaces>13965</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2021-02-14T15:34:00Z</dcterms:created>
  <dc:creator>Taras Pyts</dc:creator>
  <cp:lastModifiedBy>olgadenys</cp:lastModifiedBy>
  <cp:lastPrinted>2020-01-27T13:28:00Z</cp:lastPrinted>
  <dcterms:modified xsi:type="dcterms:W3CDTF">2021-02-18T20:29:10Z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