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Львівський</w:t>
      </w:r>
      <w:proofErr w:type="spellEnd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національний</w:t>
      </w:r>
      <w:proofErr w:type="spellEnd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університет</w:t>
      </w:r>
      <w:proofErr w:type="spellEnd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імені</w:t>
      </w:r>
      <w:proofErr w:type="spellEnd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Івана</w:t>
      </w:r>
      <w:proofErr w:type="spellEnd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Франка</w:t>
      </w:r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Кафедра </w:t>
      </w: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німецької</w:t>
      </w:r>
      <w:proofErr w:type="spellEnd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філології</w:t>
      </w:r>
      <w:proofErr w:type="spellEnd"/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С И Л А Б У С</w:t>
      </w:r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Техніка усного</w:t>
      </w:r>
      <w:r w:rsidRPr="008E3E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перекладу</w:t>
      </w:r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Освітній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рівень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магістр</w:t>
      </w:r>
      <w:proofErr w:type="spellEnd"/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Галузь</w:t>
      </w:r>
      <w:proofErr w:type="spellEnd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знань</w:t>
      </w:r>
      <w:proofErr w:type="spellEnd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03 </w:t>
      </w:r>
      <w:r w:rsidRPr="008E3E60">
        <w:rPr>
          <w:rFonts w:ascii="Times New Roman" w:hAnsi="Times New Roman" w:cs="Times New Roman"/>
          <w:b/>
          <w:sz w:val="24"/>
          <w:szCs w:val="24"/>
          <w:lang w:val="uk-UA"/>
        </w:rPr>
        <w:t>Г</w:t>
      </w: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уманітарні</w:t>
      </w:r>
      <w:proofErr w:type="spellEnd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науки</w:t>
      </w:r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Спеціальність</w:t>
      </w:r>
      <w:proofErr w:type="spellEnd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035.05 </w:t>
      </w: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Філологія</w:t>
      </w:r>
      <w:proofErr w:type="spellEnd"/>
    </w:p>
    <w:p w:rsidR="008E3E60" w:rsidRDefault="008E3E60" w:rsidP="00762640">
      <w:pPr>
        <w:ind w:left="1440" w:hanging="14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Спеціалізація</w:t>
      </w:r>
      <w:proofErr w:type="spellEnd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035.043 </w:t>
      </w: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Германські</w:t>
      </w:r>
      <w:proofErr w:type="spellEnd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мови</w:t>
      </w:r>
      <w:proofErr w:type="spellEnd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літератури</w:t>
      </w:r>
      <w:proofErr w:type="spellEnd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(переклад </w:t>
      </w: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включно</w:t>
      </w:r>
      <w:proofErr w:type="spellEnd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):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перша</w:t>
      </w:r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німецька</w:t>
      </w:r>
      <w:proofErr w:type="spellEnd"/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ОПП: </w:t>
      </w:r>
      <w:r w:rsidR="0076264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6264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="00762640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Німецька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англійська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мови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і</w:t>
      </w:r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літератури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(переклад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включно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2640" w:rsidRDefault="0076264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2640" w:rsidRDefault="0076264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2640" w:rsidRDefault="0076264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3E60" w:rsidRPr="008E3E60" w:rsidRDefault="008E3E60" w:rsidP="0076264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Львів</w:t>
      </w:r>
      <w:proofErr w:type="spellEnd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2020 </w:t>
      </w: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рік</w:t>
      </w:r>
      <w:proofErr w:type="spellEnd"/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8E3E60" w:rsidRPr="008E3E60" w:rsidRDefault="008E3E60" w:rsidP="008E3E6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E3E6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Силабус</w:t>
      </w:r>
      <w:proofErr w:type="spellEnd"/>
      <w:r w:rsidRPr="008E3E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курсу «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Техніка усного</w:t>
      </w:r>
      <w:r w:rsidRPr="008E3E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перекладу»</w:t>
      </w:r>
    </w:p>
    <w:p w:rsidR="008E3E60" w:rsidRPr="008E3E60" w:rsidRDefault="008E3E60" w:rsidP="008E3E6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2020/2021</w:t>
      </w:r>
      <w:r w:rsidRPr="008E3E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навчального року</w:t>
      </w:r>
    </w:p>
    <w:p w:rsidR="008E3E60" w:rsidRPr="008E3E60" w:rsidRDefault="008E3E60" w:rsidP="008E3E6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E3E60" w:rsidRPr="008E3E60" w:rsidTr="008E3E60">
        <w:tc>
          <w:tcPr>
            <w:tcW w:w="3085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</w:t>
            </w:r>
            <w:proofErr w:type="spellEnd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486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Техніка усного</w:t>
            </w: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перекладу</w:t>
            </w:r>
          </w:p>
        </w:tc>
      </w:tr>
      <w:tr w:rsidR="008E3E60" w:rsidRPr="008E3E60" w:rsidTr="008E3E60">
        <w:tc>
          <w:tcPr>
            <w:tcW w:w="3085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6486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національний університет імені Івана Франка, м. Львів, вул. Університетська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</w:p>
        </w:tc>
      </w:tr>
      <w:tr w:rsidR="008E3E60" w:rsidRPr="00762640" w:rsidTr="008E3E60">
        <w:tc>
          <w:tcPr>
            <w:tcW w:w="3085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6486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Факультет іноземних мов, 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німецької філології</w:t>
            </w:r>
          </w:p>
        </w:tc>
      </w:tr>
      <w:tr w:rsidR="008E3E60" w:rsidRPr="00762640" w:rsidTr="008E3E60">
        <w:tc>
          <w:tcPr>
            <w:tcW w:w="3085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6486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 03 Гуманітарні науки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035.05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Філологія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Спеціалізація 035.043 Германські мови та літератури (переклад включно), перша – німецька: німецька і англійська мови та літератури</w:t>
            </w:r>
          </w:p>
        </w:tc>
      </w:tr>
    </w:tbl>
    <w:p w:rsidR="008E3E60" w:rsidRPr="008E3E60" w:rsidRDefault="008E3E60" w:rsidP="008E3E6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3E60" w:rsidRPr="008E3E60" w:rsidRDefault="008E3E60" w:rsidP="008E3E6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ВИКЛАДАЧА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E3E60" w:rsidRPr="008E3E60" w:rsidTr="008E3E60">
        <w:tc>
          <w:tcPr>
            <w:tcW w:w="3085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Прізвище</w:t>
            </w:r>
            <w:proofErr w:type="spellEnd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ім'я</w:t>
            </w:r>
            <w:proofErr w:type="spellEnd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по </w:t>
            </w:r>
            <w:proofErr w:type="spellStart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батькові</w:t>
            </w:r>
            <w:proofErr w:type="spellEnd"/>
          </w:p>
        </w:tc>
        <w:tc>
          <w:tcPr>
            <w:tcW w:w="6486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Назаркевич</w:t>
            </w:r>
            <w:proofErr w:type="spellEnd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Христина </w:t>
            </w:r>
            <w:proofErr w:type="spellStart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Ярославівна</w:t>
            </w:r>
            <w:proofErr w:type="spellEnd"/>
          </w:p>
        </w:tc>
      </w:tr>
      <w:tr w:rsidR="008E3E60" w:rsidRPr="008E3E60" w:rsidTr="008E3E60">
        <w:tc>
          <w:tcPr>
            <w:tcW w:w="3085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Науковий ступінь</w:t>
            </w:r>
          </w:p>
        </w:tc>
        <w:tc>
          <w:tcPr>
            <w:tcW w:w="6486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кандидат філологічних наук</w:t>
            </w:r>
          </w:p>
        </w:tc>
      </w:tr>
      <w:tr w:rsidR="008E3E60" w:rsidRPr="008E3E60" w:rsidTr="008E3E60">
        <w:tc>
          <w:tcPr>
            <w:tcW w:w="3085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Вчене звання</w:t>
            </w:r>
          </w:p>
        </w:tc>
        <w:tc>
          <w:tcPr>
            <w:tcW w:w="6486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</w:tr>
      <w:tr w:rsidR="008E3E60" w:rsidRPr="00762640" w:rsidTr="008E3E60">
        <w:tc>
          <w:tcPr>
            <w:tcW w:w="3085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Посада </w:t>
            </w:r>
          </w:p>
        </w:tc>
        <w:tc>
          <w:tcPr>
            <w:tcW w:w="6486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оцент</w:t>
            </w:r>
            <w:proofErr w:type="spellEnd"/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кафедри німецької філології Львівського національного університет імені І. Франка</w:t>
            </w:r>
          </w:p>
        </w:tc>
      </w:tr>
      <w:tr w:rsidR="008E3E60" w:rsidRPr="00762640" w:rsidTr="008E3E60">
        <w:tc>
          <w:tcPr>
            <w:tcW w:w="3085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6486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Львівський національний університет імені І. Франка, кафедра німецької філології</w:t>
            </w:r>
          </w:p>
        </w:tc>
      </w:tr>
      <w:tr w:rsidR="008E3E60" w:rsidRPr="00762640" w:rsidTr="008E3E60">
        <w:tc>
          <w:tcPr>
            <w:tcW w:w="3085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Електронна</w:t>
            </w:r>
            <w:proofErr w:type="spellEnd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адреса</w:t>
            </w:r>
          </w:p>
        </w:tc>
        <w:tc>
          <w:tcPr>
            <w:tcW w:w="6486" w:type="dxa"/>
          </w:tcPr>
          <w:p w:rsidR="008E3E60" w:rsidRPr="008E3E60" w:rsidRDefault="00B752C2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8E3E60" w:rsidRPr="008E3E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Khrystyna</w:t>
              </w:r>
              <w:r w:rsidR="008E3E60" w:rsidRPr="008E3E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E3E60" w:rsidRPr="008E3E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Nazarkevych</w:t>
              </w:r>
              <w:r w:rsidR="008E3E60" w:rsidRPr="008E3E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8E3E60" w:rsidRPr="008E3E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</w:t>
              </w:r>
              <w:r w:rsidR="008E3E60" w:rsidRPr="008E3E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E3E60" w:rsidRPr="008E3E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E3E60" w:rsidRPr="008E3E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8E3E60" w:rsidRPr="008E3E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</w:p>
        </w:tc>
      </w:tr>
      <w:tr w:rsidR="008E3E60" w:rsidRPr="00762640" w:rsidTr="008E3E60">
        <w:tc>
          <w:tcPr>
            <w:tcW w:w="3085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Сторінка</w:t>
            </w:r>
            <w:proofErr w:type="spellEnd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викладача</w:t>
            </w:r>
            <w:proofErr w:type="spellEnd"/>
          </w:p>
        </w:tc>
        <w:tc>
          <w:tcPr>
            <w:tcW w:w="6486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http://lingua.lnu.edu.ua/employee/nazarkevych-hrystyna-yaroslavivna</w:t>
            </w:r>
          </w:p>
        </w:tc>
      </w:tr>
    </w:tbl>
    <w:p w:rsidR="008E3E60" w:rsidRPr="008E3E60" w:rsidRDefault="008E3E60" w:rsidP="008E3E6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3E60" w:rsidRPr="008E3E60" w:rsidRDefault="008E3E60" w:rsidP="008E3E6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КОНСУЛЬТАЦІЇ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8E3E60" w:rsidRPr="008E3E60" w:rsidTr="008E3E60">
        <w:tc>
          <w:tcPr>
            <w:tcW w:w="3085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</w:t>
            </w:r>
          </w:p>
        </w:tc>
        <w:tc>
          <w:tcPr>
            <w:tcW w:w="6486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E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Щоп</w:t>
            </w:r>
            <w:proofErr w:type="spellEnd"/>
            <w:r w:rsidRPr="008E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ятниці</w:t>
            </w:r>
            <w:proofErr w:type="spellEnd"/>
            <w:r w:rsidRPr="008E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18.00-20.00 </w:t>
            </w:r>
          </w:p>
        </w:tc>
      </w:tr>
      <w:tr w:rsidR="008E3E60" w:rsidRPr="008E3E60" w:rsidTr="008E3E60">
        <w:tc>
          <w:tcPr>
            <w:tcW w:w="3085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Місце</w:t>
            </w:r>
            <w:proofErr w:type="spellEnd"/>
          </w:p>
        </w:tc>
        <w:tc>
          <w:tcPr>
            <w:tcW w:w="6486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Львівський національний університет імені І. Франка, кафедра німецької філології (м. Львів, вул. Університетська, 1, </w:t>
            </w:r>
            <w:proofErr w:type="spellStart"/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427)</w:t>
            </w:r>
          </w:p>
        </w:tc>
      </w:tr>
    </w:tbl>
    <w:p w:rsidR="008E3E60" w:rsidRPr="008E3E60" w:rsidRDefault="008E3E60" w:rsidP="008E3E60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3E60" w:rsidRPr="008E3E60" w:rsidRDefault="008E3E60" w:rsidP="008E3E60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E3E60">
        <w:rPr>
          <w:rFonts w:ascii="Times New Roman" w:hAnsi="Times New Roman" w:cs="Times New Roman"/>
          <w:b/>
          <w:sz w:val="24"/>
          <w:szCs w:val="24"/>
          <w:lang w:val="ru-RU"/>
        </w:rPr>
        <w:t>ІНФОРМАЦІЯ ПРО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7"/>
        <w:gridCol w:w="6688"/>
      </w:tblGrid>
      <w:tr w:rsidR="008E3E60" w:rsidRPr="00762640" w:rsidTr="008E3E60">
        <w:tc>
          <w:tcPr>
            <w:tcW w:w="2657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Сторінка</w:t>
            </w:r>
            <w:proofErr w:type="spellEnd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курсу</w:t>
            </w:r>
          </w:p>
        </w:tc>
        <w:tc>
          <w:tcPr>
            <w:tcW w:w="668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http://lingua.lnu.edu.ua/employee/nazarkevych-hrystyna-yaroslavivna</w:t>
            </w:r>
          </w:p>
        </w:tc>
      </w:tr>
      <w:tr w:rsidR="008E3E60" w:rsidRPr="00762640" w:rsidTr="008E3E60">
        <w:tc>
          <w:tcPr>
            <w:tcW w:w="2657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668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«</w:t>
            </w: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Техніка усного перекладу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є вибірковою дисципліною зі спеціальності  035.05Н для освітньої програми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гіст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 , яка викладається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першому році магістерської програми 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-ому семестрі в обсязі 3 кредити (за Європейською Кредитно-Трансферною Системою ECTS).</w:t>
            </w:r>
          </w:p>
          <w:p w:rsidR="008E3E60" w:rsidRPr="008E3E60" w:rsidRDefault="00762640" w:rsidP="0076264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не ставить метою навчити усного перекладу, а лише ознайомити студентів з основними напрямками можливої самоосвіти у випадку психологічної і мовної готовності до професії усного перекладача</w:t>
            </w:r>
            <w:r w:rsidR="008E3E60"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один семестр студенти матимуть змогу спробувати себе в усіх видах усного перекладу і пізнати таким чином свої сильні і слабкі професійні риси. </w:t>
            </w:r>
          </w:p>
        </w:tc>
      </w:tr>
      <w:tr w:rsidR="008E3E60" w:rsidRPr="00762640" w:rsidTr="008E3E60">
        <w:tc>
          <w:tcPr>
            <w:tcW w:w="2657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та завдання курсу</w:t>
            </w:r>
          </w:p>
        </w:tc>
        <w:tc>
          <w:tcPr>
            <w:tcW w:w="6688" w:type="dxa"/>
          </w:tcPr>
          <w:p w:rsidR="00C17BB2" w:rsidRPr="008678F8" w:rsidRDefault="008E3E60" w:rsidP="00C17B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Метою вивчення вибіркової дисципліни «</w:t>
            </w: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Техніка усного перекладу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є ознайомлення студентів з</w:t>
            </w:r>
            <w:r w:rsid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основними принципами роботи усним перекладачем, </w:t>
            </w:r>
            <w:r w:rsidR="00C17BB2" w:rsidRP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закладення бази для подальшого </w:t>
            </w:r>
            <w:r w:rsid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самостійного </w:t>
            </w:r>
            <w:r w:rsidR="00C17BB2" w:rsidRP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удоскон</w:t>
            </w:r>
            <w:r w:rsid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алення навичок усного перекладу, виховання відповідального ставлення до роботи усного перекладача як медіатора комунікації.</w:t>
            </w:r>
            <w:r w:rsidR="00C17BB2" w:rsidRPr="008678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Основними завданнями курсу є </w:t>
            </w:r>
          </w:p>
          <w:p w:rsidR="00C17BB2" w:rsidRPr="00C17BB2" w:rsidRDefault="00C17BB2" w:rsidP="00C17BB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Pr="00C17B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яснити</w:t>
            </w:r>
            <w:proofErr w:type="spellEnd"/>
            <w:r w:rsidRP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принципову різницю між усним та письмовим перекладом;</w:t>
            </w:r>
          </w:p>
          <w:p w:rsidR="00C17BB2" w:rsidRPr="00C17BB2" w:rsidRDefault="00C17BB2" w:rsidP="00C17BB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показати палітру можливостей застосування усного перекладу і вказати на відмінності між різними видами усного перекладу;</w:t>
            </w:r>
          </w:p>
          <w:p w:rsidR="00C17BB2" w:rsidRPr="00C17BB2" w:rsidRDefault="00C17BB2" w:rsidP="00C17BB2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продемонструвати основні напрямки самостійної підготовки до роботи усного перекладача, допомогти студентам пізнати власні можливості.</w:t>
            </w:r>
          </w:p>
          <w:p w:rsidR="008E3E60" w:rsidRPr="008E3E60" w:rsidRDefault="008E3E60" w:rsidP="00C17BB2">
            <w:pPr>
              <w:spacing w:after="160" w:line="259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3E60" w:rsidRPr="00762640" w:rsidTr="008E3E60">
        <w:tc>
          <w:tcPr>
            <w:tcW w:w="2657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668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proofErr w:type="spellStart"/>
            <w:r w:rsidRPr="008E3E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Основна</w:t>
            </w:r>
            <w:proofErr w:type="spellEnd"/>
          </w:p>
          <w:p w:rsidR="00762640" w:rsidRPr="00762640" w:rsidRDefault="00762640" w:rsidP="00762640">
            <w:pPr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Назаркевич</w:t>
            </w:r>
            <w:proofErr w:type="spellEnd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Х. Я. Основи </w:t>
            </w:r>
            <w:proofErr w:type="spellStart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посібник / Христина </w:t>
            </w:r>
            <w:proofErr w:type="spellStart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Назаркевич</w:t>
            </w:r>
            <w:proofErr w:type="spellEnd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 – Львів: Видавничий центр ЛНУ імені Івана Франка, 2010. – сс. 55-60; 162-176; 220-224.</w:t>
            </w:r>
          </w:p>
          <w:p w:rsidR="00762640" w:rsidRPr="00762640" w:rsidRDefault="00762640" w:rsidP="00762640">
            <w:pPr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Ребрій</w:t>
            </w:r>
            <w:proofErr w:type="spellEnd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О. В. Основи перекладацького скоропису: навчальний посібник / О. В. </w:t>
            </w:r>
            <w:proofErr w:type="spellStart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Ребрій</w:t>
            </w:r>
            <w:proofErr w:type="spellEnd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– Вінниця: Видавництво «Нова книга», 2006. – 152 с.</w:t>
            </w:r>
          </w:p>
          <w:p w:rsidR="00762640" w:rsidRPr="00762640" w:rsidRDefault="00762640" w:rsidP="00762640">
            <w:pPr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Kautz U. Handbuch Didaktik des Übersetzens und Dolmetschens / Ulrich Kautz. – Goethe Institut – München: </w:t>
            </w:r>
            <w:proofErr w:type="spellStart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Iudicium</w:t>
            </w:r>
            <w:proofErr w:type="spellEnd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2002. – 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Ss</w:t>
            </w:r>
            <w:proofErr w:type="spellEnd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87-416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762640" w:rsidRPr="00762640" w:rsidRDefault="00762640" w:rsidP="00762640">
            <w:pPr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Seleskovitch</w:t>
            </w:r>
            <w:proofErr w:type="spellEnd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D. Der Konferenzdolmetscher. Sprache und Kommunikation / Danica </w:t>
            </w:r>
            <w:proofErr w:type="spellStart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Seleskovitch</w:t>
            </w:r>
            <w:proofErr w:type="spellEnd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 Heidelberg: Julius Groos Verlag, 1988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. – 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150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762640" w:rsidRPr="00762640" w:rsidRDefault="00762640" w:rsidP="00762640">
            <w:pPr>
              <w:numPr>
                <w:ilvl w:val="0"/>
                <w:numId w:val="10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lastRenderedPageBreak/>
              <w:t>Stähle J. Vom Übersetzen zum Simultandolmetschen. Handwerk und Kunst des zweitältesten Gewerbes / Jürgen Stähle. – Stuttgart: Franz Steiner Verlag, 2009. – 413 S.</w:t>
            </w:r>
          </w:p>
          <w:p w:rsidR="008E3E60" w:rsidRPr="008E3E60" w:rsidRDefault="008E3E60" w:rsidP="00762640">
            <w:pPr>
              <w:spacing w:after="160" w:line="259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Додаткова</w:t>
            </w:r>
          </w:p>
          <w:p w:rsidR="00762640" w:rsidRPr="00762640" w:rsidRDefault="00762640" w:rsidP="00762640">
            <w:pPr>
              <w:numPr>
                <w:ilvl w:val="0"/>
                <w:numId w:val="11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Алексеева</w:t>
            </w:r>
            <w:proofErr w:type="spellEnd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И. С. 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перевод. Немецкий язык. Курс для начинающих / И. С. Алексеева. – Санкт-Петербург: Издательство “Союз”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2002. – 3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с.</w:t>
            </w:r>
          </w:p>
          <w:p w:rsidR="00762640" w:rsidRPr="00762640" w:rsidRDefault="00762640" w:rsidP="00762640">
            <w:pPr>
              <w:numPr>
                <w:ilvl w:val="0"/>
                <w:numId w:val="11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Behr M., </w:t>
            </w:r>
            <w:proofErr w:type="spellStart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Corpataux</w:t>
            </w:r>
            <w:proofErr w:type="spellEnd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M. Die Nürnberger Prozesse. Zur Bedeutung der Dolmetscher für die Prozesse und der Prozesse für die Dolmetscher / Martina Behr, Maike </w:t>
            </w:r>
            <w:proofErr w:type="spellStart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Corpataux</w:t>
            </w:r>
            <w:proofErr w:type="spellEnd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. – München: Martin </w:t>
            </w:r>
            <w:proofErr w:type="spellStart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Meidenbauer</w:t>
            </w:r>
            <w:proofErr w:type="spellEnd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Verlagsbuchhandlung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2006. – 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9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3 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762640" w:rsidRPr="00762640" w:rsidRDefault="00762640" w:rsidP="00762640">
            <w:pPr>
              <w:numPr>
                <w:ilvl w:val="0"/>
                <w:numId w:val="11"/>
              </w:num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Chabasse</w:t>
            </w:r>
            <w:proofErr w:type="spellEnd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C. Gibt es eine Begabung für das Simultandolmetschen? Erstellung eines </w:t>
            </w:r>
            <w:proofErr w:type="spellStart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Dolmetscheignungstests</w:t>
            </w:r>
            <w:proofErr w:type="spellEnd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 xml:space="preserve"> / Catherine </w:t>
            </w:r>
            <w:proofErr w:type="spellStart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Chabasse</w:t>
            </w:r>
            <w:proofErr w:type="spellEnd"/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. – Berlin: SAXA Verlag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200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9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– 2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19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S</w:t>
            </w:r>
            <w:r w:rsidRPr="007626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762640" w:rsidRPr="00762640" w:rsidRDefault="00762640" w:rsidP="00762640">
            <w:pPr>
              <w:spacing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8E3E60" w:rsidRPr="008E3E60" w:rsidRDefault="008E3E60" w:rsidP="0076264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Інтернет-ресурси</w:t>
            </w:r>
          </w:p>
          <w:p w:rsidR="008E3E60" w:rsidRPr="008E3E60" w:rsidRDefault="008E3E60" w:rsidP="0076264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3E60" w:rsidRPr="008E3E60" w:rsidTr="008E3E60">
        <w:tc>
          <w:tcPr>
            <w:tcW w:w="2657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668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Один семестр (7)</w:t>
            </w:r>
          </w:p>
        </w:tc>
      </w:tr>
      <w:tr w:rsidR="008E3E60" w:rsidRPr="00762640" w:rsidTr="008E3E60">
        <w:tc>
          <w:tcPr>
            <w:tcW w:w="2657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668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кількість годин – 90.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 годин аудиторних занять. З них 16 години лекцій, 16 годин практичних занять та 58 годин самостійної роботи.</w:t>
            </w:r>
          </w:p>
        </w:tc>
      </w:tr>
      <w:tr w:rsidR="008E3E60" w:rsidRPr="00762640" w:rsidTr="008E3E60">
        <w:tc>
          <w:tcPr>
            <w:tcW w:w="2657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668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зав</w:t>
            </w:r>
            <w:r w:rsid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ершення цього курсу студенти повинні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C17BB2" w:rsidRPr="00C17BB2" w:rsidRDefault="00C17BB2" w:rsidP="00C17BB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ознаки комунікативного повідомлення та закони людського спілкування; </w:t>
            </w:r>
          </w:p>
          <w:p w:rsidR="00C17BB2" w:rsidRPr="00C17BB2" w:rsidRDefault="00C17BB2" w:rsidP="00C17BB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успішно використовувати з професійною метою свої знання;  </w:t>
            </w:r>
          </w:p>
          <w:p w:rsidR="00C17BB2" w:rsidRPr="00C17BB2" w:rsidRDefault="00C17BB2" w:rsidP="00C17BB2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принципи інформативного членування повідомлення; </w:t>
            </w:r>
          </w:p>
          <w:p w:rsidR="008E3E60" w:rsidRPr="008E3E60" w:rsidRDefault="00C17BB2" w:rsidP="00C17BB2">
            <w:pPr>
              <w:numPr>
                <w:ilvl w:val="0"/>
                <w:numId w:val="7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прийоми усного перекладу, які застосовуються практично в усіх випадках</w:t>
            </w:r>
            <w:r w:rsidR="008E3E60"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C17BB2" w:rsidRPr="00C17BB2" w:rsidRDefault="00C17BB2" w:rsidP="00C17BB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розрізняти компоненти повідомлення за комунікативною вагою, </w:t>
            </w:r>
            <w:proofErr w:type="spellStart"/>
            <w:r w:rsidRP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редундантністю</w:t>
            </w:r>
            <w:proofErr w:type="spellEnd"/>
            <w:r w:rsidRP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; </w:t>
            </w:r>
          </w:p>
          <w:p w:rsidR="00C17BB2" w:rsidRPr="00C17BB2" w:rsidRDefault="00C17BB2" w:rsidP="00C17BB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синтаксично і/або лексично розгортати та </w:t>
            </w:r>
            <w:proofErr w:type="spellStart"/>
            <w:r w:rsidRP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компресувати</w:t>
            </w:r>
            <w:proofErr w:type="spellEnd"/>
            <w:r w:rsidRP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комунікативне повідомлення; </w:t>
            </w:r>
          </w:p>
          <w:p w:rsidR="008E3E60" w:rsidRPr="008E3E60" w:rsidRDefault="00C17BB2" w:rsidP="00C17BB2">
            <w:pPr>
              <w:numPr>
                <w:ilvl w:val="0"/>
                <w:numId w:val="8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тренувати пам’ять і голос – два необхідні інструменти усного перекладача.</w:t>
            </w:r>
            <w:r w:rsidR="008E3E60"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E3E60" w:rsidRPr="00762640" w:rsidTr="008E3E60">
        <w:tc>
          <w:tcPr>
            <w:tcW w:w="2657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Ключові слова</w:t>
            </w:r>
          </w:p>
        </w:tc>
        <w:tc>
          <w:tcPr>
            <w:tcW w:w="6688" w:type="dxa"/>
          </w:tcPr>
          <w:p w:rsidR="008E3E60" w:rsidRPr="008E3E60" w:rsidRDefault="00C17BB2" w:rsidP="00C17B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послідовний переклад</w:t>
            </w:r>
            <w:r w:rsidR="008E3E60"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переклад</w:t>
            </w:r>
            <w:r w:rsidR="008E3E60"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переклад конференцій, двомовна комунікація</w:t>
            </w:r>
          </w:p>
        </w:tc>
      </w:tr>
      <w:tr w:rsidR="008E3E60" w:rsidRPr="008E3E60" w:rsidTr="008E3E60">
        <w:tc>
          <w:tcPr>
            <w:tcW w:w="2657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Формат курсу</w:t>
            </w:r>
          </w:p>
        </w:tc>
        <w:tc>
          <w:tcPr>
            <w:tcW w:w="668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</w:tc>
      </w:tr>
      <w:tr w:rsidR="008E3E60" w:rsidRPr="008E3E60" w:rsidTr="008E3E60">
        <w:tc>
          <w:tcPr>
            <w:tcW w:w="2657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668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 СХЕМА КУРСУ</w:t>
            </w:r>
          </w:p>
        </w:tc>
      </w:tr>
      <w:tr w:rsidR="008E3E60" w:rsidRPr="008E3E60" w:rsidTr="008E3E60">
        <w:tc>
          <w:tcPr>
            <w:tcW w:w="2657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668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E3E60" w:rsidRPr="00762640" w:rsidTr="008E3E60">
        <w:tc>
          <w:tcPr>
            <w:tcW w:w="2657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</w:tc>
        <w:tc>
          <w:tcPr>
            <w:tcW w:w="6688" w:type="dxa"/>
          </w:tcPr>
          <w:p w:rsidR="008E3E60" w:rsidRPr="008E3E60" w:rsidRDefault="008E3E60" w:rsidP="00C17BB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вивчення курсу студенти потребують </w:t>
            </w:r>
            <w:r w:rsid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дуже добрих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знань з німецької мови як основної, </w:t>
            </w:r>
            <w:r w:rsidR="00C17B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дуже добрих знань рідної мови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762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широкого світогляду і різнобічних зацікавлень.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E3E60" w:rsidRPr="00762640" w:rsidTr="008E3E60">
        <w:tc>
          <w:tcPr>
            <w:tcW w:w="2657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організації навчання</w:t>
            </w:r>
          </w:p>
        </w:tc>
        <w:tc>
          <w:tcPr>
            <w:tcW w:w="6688" w:type="dxa"/>
          </w:tcPr>
          <w:p w:rsidR="008E3E60" w:rsidRPr="008E3E60" w:rsidRDefault="008E3E60" w:rsidP="007626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Лекції,  практичні заняття, са</w:t>
            </w:r>
            <w:r w:rsidR="00E03C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мостійна робота, тренажі в домашніх умовах, пере</w:t>
            </w:r>
            <w:r w:rsidR="007626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гляд щоденних новин</w:t>
            </w:r>
          </w:p>
        </w:tc>
      </w:tr>
      <w:tr w:rsidR="008E3E60" w:rsidRPr="00762640" w:rsidTr="008E3E60">
        <w:tc>
          <w:tcPr>
            <w:tcW w:w="2657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Методи навчання </w:t>
            </w:r>
          </w:p>
        </w:tc>
        <w:tc>
          <w:tcPr>
            <w:tcW w:w="6688" w:type="dxa"/>
          </w:tcPr>
          <w:p w:rsidR="008E3E60" w:rsidRPr="008E3E60" w:rsidRDefault="008E3E60" w:rsidP="00E03C9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Пояснювально-ілюстративний метод, евристичний метод.</w:t>
            </w:r>
          </w:p>
        </w:tc>
      </w:tr>
      <w:tr w:rsidR="008E3E60" w:rsidRPr="008E3E60" w:rsidTr="008E3E60">
        <w:tc>
          <w:tcPr>
            <w:tcW w:w="2657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Необхідне обладнання</w:t>
            </w:r>
          </w:p>
        </w:tc>
        <w:tc>
          <w:tcPr>
            <w:tcW w:w="668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ноутбук</w:t>
            </w:r>
          </w:p>
        </w:tc>
      </w:tr>
    </w:tbl>
    <w:p w:rsidR="008E3E60" w:rsidRPr="008E3E60" w:rsidRDefault="008E3E60" w:rsidP="008E3E6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3E60" w:rsidRPr="008E3E60" w:rsidRDefault="008E3E60" w:rsidP="008E3E6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E3E60">
        <w:rPr>
          <w:rFonts w:ascii="Times New Roman" w:hAnsi="Times New Roman" w:cs="Times New Roman"/>
          <w:b/>
          <w:sz w:val="24"/>
          <w:szCs w:val="24"/>
          <w:lang w:val="uk-UA"/>
        </w:rPr>
        <w:t>ОЦІНЮВАННЯ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8E3E60" w:rsidRPr="008E3E60" w:rsidTr="008E3E60">
        <w:tc>
          <w:tcPr>
            <w:tcW w:w="3085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Розподіл балів, які отримують студенти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Аудиторна робота –  40 балів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x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8E3E60" w:rsidRPr="008E3E60" w:rsidRDefault="00E03C95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завдання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аудіозапис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домашніх завдань з перекладу</w:t>
            </w:r>
            <w:r w:rsidR="008E3E60"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– 30 балів</w:t>
            </w:r>
          </w:p>
          <w:p w:rsidR="008E3E60" w:rsidRPr="008E3E60" w:rsidRDefault="00E03C95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Два переклади на занятті в присутності групи</w:t>
            </w:r>
            <w:r w:rsidR="008E3E60"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30 (2х15)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 оформляється шляхом сумування одержаних студентом балів за усі види навчальної діяльності. Підсумкова максимальна кількість балів – 100.</w:t>
            </w:r>
          </w:p>
        </w:tc>
      </w:tr>
      <w:tr w:rsidR="008E3E60" w:rsidRPr="008E3E60" w:rsidTr="008E3E60">
        <w:tc>
          <w:tcPr>
            <w:tcW w:w="3085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</w:t>
            </w:r>
          </w:p>
        </w:tc>
        <w:tc>
          <w:tcPr>
            <w:tcW w:w="6486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Оцінювання аудиторної роботи (0 – 40 балів) студентів враховує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E3E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активність </w:t>
            </w:r>
            <w:r w:rsidR="00E03C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 заняттях, зосередженість на виконанні практичних завдань і </w:t>
            </w:r>
            <w:proofErr w:type="spellStart"/>
            <w:r w:rsidR="00E03C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затреновуванні</w:t>
            </w:r>
            <w:proofErr w:type="spellEnd"/>
            <w:r w:rsidR="00E03C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03C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пактичних</w:t>
            </w:r>
            <w:proofErr w:type="spellEnd"/>
            <w:r w:rsidR="00E03C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навиків.</w:t>
            </w:r>
            <w:r w:rsidRPr="008E3E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Максимальна кількість балів за одне практичне заняття 5.</w:t>
            </w:r>
            <w:r w:rsidR="00E03C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Від 5 до 3 балів студент отримує у випадку зосередженої і успішної роботи з завданнями. Від 2 до 1 бала студент отримує за спробу перекладу, намагання подолати мовний опір. 0 балів означає пасивну присутність на занятті. За відсутність на занятті бали знімаються: - 2 (відсутність без поважної причини); - 1 (пропуск заняття).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Шкала оцінювання</w:t>
            </w:r>
          </w:p>
          <w:tbl>
            <w:tblPr>
              <w:tblpPr w:leftFromText="180" w:rightFromText="180" w:vertAnchor="text" w:tblpX="1012" w:tblpY="1"/>
              <w:tblOverlap w:val="never"/>
              <w:tblW w:w="7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547"/>
              <w:gridCol w:w="3687"/>
            </w:tblGrid>
            <w:tr w:rsidR="008E3E60" w:rsidRPr="0076264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% правильних відповідей </w:t>
                  </w:r>
                </w:p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(аудиторна робота)</w:t>
                  </w:r>
                </w:p>
              </w:tc>
            </w:tr>
            <w:tr w:rsidR="008E3E60" w:rsidRPr="0076264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E03C95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відмінна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100 – 90 </w:t>
                  </w:r>
                </w:p>
              </w:tc>
            </w:tr>
            <w:tr w:rsidR="008E3E60" w:rsidRPr="0076264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E03C95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lastRenderedPageBreak/>
                    <w:t>4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дуже 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89 – 81 </w:t>
                  </w:r>
                </w:p>
              </w:tc>
            </w:tr>
            <w:tr w:rsidR="008E3E60" w:rsidRPr="0076264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E03C95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80 – 71 </w:t>
                  </w:r>
                </w:p>
              </w:tc>
            </w:tr>
            <w:tr w:rsidR="008E3E60" w:rsidRPr="0076264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E03C95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70 – 61 </w:t>
                  </w:r>
                </w:p>
              </w:tc>
            </w:tr>
            <w:tr w:rsidR="008E3E60" w:rsidRPr="0076264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достатня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60 – 51 </w:t>
                  </w:r>
                </w:p>
              </w:tc>
            </w:tr>
            <w:tr w:rsidR="008E3E60" w:rsidRPr="0076264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50 і менше </w:t>
                  </w:r>
                </w:p>
              </w:tc>
            </w:tr>
          </w:tbl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Оцінювання ін</w:t>
            </w:r>
            <w:r w:rsidR="00E03C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дивідуального завдання (</w:t>
            </w:r>
            <w:proofErr w:type="spellStart"/>
            <w:r w:rsidR="00E03C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ехо-повтор</w:t>
            </w:r>
            <w:proofErr w:type="spellEnd"/>
            <w:r w:rsidR="00E03C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послідовний переклад промови, синхронний переклад ток-шоу тощо)</w:t>
            </w:r>
            <w:r w:rsidRPr="008E3E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студентів  (0-30 балів)  враховує якість </w:t>
            </w:r>
            <w:r w:rsidR="00E03C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виконання (відсутність комунікаційних помилок, дикція, риторичні здібності тощо). Низьким балом оцінюються завдання з невиконаною комунікаційною метою – незавершеними фразами, неперекладеною інформацією, мовною інтерференцією, яка ускладнює або й унеможливлює сприйняття почутого тексту).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Шкала оцінювання</w:t>
            </w:r>
          </w:p>
          <w:tbl>
            <w:tblPr>
              <w:tblpPr w:leftFromText="180" w:rightFromText="180" w:vertAnchor="text" w:tblpX="1012" w:tblpY="1"/>
              <w:tblOverlap w:val="never"/>
              <w:tblW w:w="7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547"/>
              <w:gridCol w:w="3687"/>
            </w:tblGrid>
            <w:tr w:rsidR="008E3E60" w:rsidRPr="0076264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% правильних відповідей </w:t>
                  </w:r>
                </w:p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(аудиторна робота)</w:t>
                  </w:r>
                </w:p>
              </w:tc>
            </w:tr>
            <w:tr w:rsidR="008E3E60" w:rsidRPr="0076264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E03C95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30 – 2</w:t>
                  </w:r>
                  <w:r w:rsidR="008E3E60"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7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відмінна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100 – 90 </w:t>
                  </w:r>
                </w:p>
              </w:tc>
            </w:tr>
            <w:tr w:rsidR="008E3E60" w:rsidRPr="0076264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E03C95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26 – 2</w:t>
                  </w:r>
                  <w:r w:rsidR="008E3E60"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дуже 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89 – 81 </w:t>
                  </w:r>
                </w:p>
              </w:tc>
            </w:tr>
            <w:tr w:rsidR="008E3E60" w:rsidRPr="0076264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E03C95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22 – 1</w:t>
                  </w:r>
                  <w:r w:rsidR="008E3E60"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9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80 – 71 </w:t>
                  </w:r>
                </w:p>
              </w:tc>
            </w:tr>
            <w:tr w:rsidR="008E3E60" w:rsidRPr="0076264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E03C95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18 – 1</w:t>
                  </w:r>
                  <w:r w:rsidR="008E3E60"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70 – 61 </w:t>
                  </w:r>
                </w:p>
              </w:tc>
            </w:tr>
            <w:tr w:rsidR="008E3E60" w:rsidRPr="0076264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E03C95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14 – 1</w:t>
                  </w:r>
                  <w:r w:rsidR="008E3E60"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достатня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60 – 51 </w:t>
                  </w:r>
                </w:p>
              </w:tc>
            </w:tr>
            <w:tr w:rsidR="008E3E60" w:rsidRPr="0076264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E03C95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</w:t>
                  </w:r>
                  <w:r w:rsidR="008E3E60"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0 – 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50 і менше </w:t>
                  </w:r>
                </w:p>
              </w:tc>
            </w:tr>
          </w:tbl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Оцінювання п</w:t>
            </w:r>
            <w:r w:rsidR="00E03C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</w:t>
            </w:r>
            <w:r w:rsidRPr="008E3E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  <w:r w:rsidR="00E03C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екладів в присутності групи</w:t>
            </w:r>
            <w:r w:rsidRPr="008E3E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E03C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(0-15 х 2 = 30) враховує </w:t>
            </w:r>
            <w:r w:rsidRPr="008E3E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коректність та структурованість </w:t>
            </w:r>
            <w:r w:rsidR="00E03C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r w:rsidRPr="008E3E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</w:t>
            </w:r>
            <w:r w:rsidR="00E03C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лову</w:t>
            </w:r>
            <w:r w:rsidRPr="008E3E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вміння </w:t>
            </w:r>
            <w:proofErr w:type="spellStart"/>
            <w:r w:rsidR="00E03C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парафразовувати</w:t>
            </w:r>
            <w:proofErr w:type="spellEnd"/>
            <w:r w:rsidR="00E03C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інформацію, загальну ерудованість і </w:t>
            </w:r>
            <w:r w:rsidR="007F6D8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вміння зосередитися</w:t>
            </w:r>
            <w:r w:rsidRPr="008E3E6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Шкала оцінювання</w:t>
            </w:r>
          </w:p>
          <w:tbl>
            <w:tblPr>
              <w:tblpPr w:leftFromText="180" w:rightFromText="180" w:vertAnchor="text" w:tblpX="1012" w:tblpY="1"/>
              <w:tblOverlap w:val="never"/>
              <w:tblW w:w="75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2547"/>
              <w:gridCol w:w="3687"/>
            </w:tblGrid>
            <w:tr w:rsidR="008E3E60" w:rsidRPr="008E3E6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Якість теоретичної та/чи практичної підготовки (усне опитування)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% правильних відповідей </w:t>
                  </w:r>
                </w:p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(аудиторна робота)</w:t>
                  </w:r>
                </w:p>
              </w:tc>
            </w:tr>
            <w:tr w:rsidR="008E3E60" w:rsidRPr="008E3E6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7F6D8A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15 – 14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відмінна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100 – 90 </w:t>
                  </w:r>
                </w:p>
              </w:tc>
            </w:tr>
            <w:tr w:rsidR="008E3E60" w:rsidRPr="008E3E6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7F6D8A" w:rsidP="007F6D8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lastRenderedPageBreak/>
                    <w:t>13</w:t>
                  </w:r>
                  <w:r w:rsidR="008E3E60"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12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дуже 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89 – 81 </w:t>
                  </w:r>
                </w:p>
              </w:tc>
            </w:tr>
            <w:tr w:rsidR="008E3E60" w:rsidRPr="008E3E6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7F6D8A" w:rsidP="007F6D8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11</w:t>
                  </w:r>
                  <w:r w:rsidR="008E3E60"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10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добра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80 – 71 </w:t>
                  </w:r>
                </w:p>
              </w:tc>
            </w:tr>
            <w:tr w:rsidR="008E3E60" w:rsidRPr="008E3E6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7F6D8A" w:rsidP="007F6D8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9</w:t>
                  </w:r>
                  <w:r w:rsidR="008E3E60"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8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70 – 61 </w:t>
                  </w:r>
                </w:p>
              </w:tc>
            </w:tr>
            <w:tr w:rsidR="008E3E60" w:rsidRPr="008E3E6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7F6D8A" w:rsidP="007F6D8A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7</w:t>
                  </w:r>
                  <w:r w:rsidR="008E3E60"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6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достатня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60 – 51 </w:t>
                  </w:r>
                </w:p>
              </w:tc>
            </w:tr>
            <w:tr w:rsidR="008E3E60" w:rsidRPr="008E3E60" w:rsidTr="008E3E60"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7F6D8A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5</w:t>
                  </w:r>
                  <w:r w:rsidR="008E3E60"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– 0</w:t>
                  </w:r>
                </w:p>
              </w:tc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незадовільна</w:t>
                  </w: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 50 і менше </w:t>
                  </w:r>
                </w:p>
              </w:tc>
            </w:tr>
          </w:tbl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E3E60" w:rsidRPr="00762640" w:rsidTr="008E3E60">
        <w:tc>
          <w:tcPr>
            <w:tcW w:w="3085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 w:rsidRPr="008E3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олітика виставлення балів</w:t>
            </w:r>
          </w:p>
        </w:tc>
        <w:tc>
          <w:tcPr>
            <w:tcW w:w="6486" w:type="dxa"/>
          </w:tcPr>
          <w:p w:rsidR="008E3E60" w:rsidRPr="008E3E60" w:rsidRDefault="008E3E60" w:rsidP="007F6D8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Крім перерахованих вище видів навчальної діяльності при підсумковому оцінюванні враховується також присутність на заняттях, активність студента під час практичного заняття.</w:t>
            </w:r>
            <w:r w:rsidR="007F6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відсутність на лекційному або практичному занятті від загальної суми 100 балів віднімається 1 або 2 бали (лекція та практичне відповідно). Успіх в навчанні усного перекладу безпосередньо залежить від докладених зусиль та керованих спроб перекладу.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E3E60" w:rsidRPr="00762640" w:rsidTr="008E3E60">
        <w:tc>
          <w:tcPr>
            <w:tcW w:w="3085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E3E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Шкала оцінювання: національна та ECTS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486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8"/>
              <w:gridCol w:w="1005"/>
              <w:gridCol w:w="1597"/>
              <w:gridCol w:w="1607"/>
            </w:tblGrid>
            <w:tr w:rsidR="008E3E60" w:rsidRPr="008E3E60" w:rsidTr="008E3E60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Кількість балів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Оцінка </w:t>
                  </w:r>
                  <w:r w:rsidRPr="008E3E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de-DE"/>
                    </w:rPr>
                    <w:t>ECTS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Визначення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Залік</w:t>
                  </w:r>
                </w:p>
              </w:tc>
            </w:tr>
            <w:tr w:rsidR="008E3E60" w:rsidRPr="008E3E60" w:rsidTr="008E3E60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100 - 90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A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Відмінно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8E3E60" w:rsidRPr="008E3E60" w:rsidTr="008E3E60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89 - 81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B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Дуже 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8E3E60" w:rsidRPr="008E3E60" w:rsidTr="008E3E60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80 - 71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C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Добре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8E3E60" w:rsidRPr="008E3E60" w:rsidTr="008E3E60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70 - 61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D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8E3E60" w:rsidRPr="008E3E60" w:rsidTr="008E3E60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60 - 51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E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8E3E60" w:rsidRPr="00762640" w:rsidTr="008E3E60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21 - </w:t>
                  </w: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50 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FX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Недостатньо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зараховано (з можливістю повторного складання)</w:t>
                  </w:r>
                </w:p>
              </w:tc>
            </w:tr>
            <w:tr w:rsidR="008E3E60" w:rsidRPr="00762640" w:rsidTr="008E3E60">
              <w:trPr>
                <w:jc w:val="center"/>
              </w:trPr>
              <w:tc>
                <w:tcPr>
                  <w:tcW w:w="1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0 - 20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de-DE"/>
                    </w:rPr>
                    <w:t>F</w:t>
                  </w:r>
                </w:p>
              </w:tc>
              <w:tc>
                <w:tcPr>
                  <w:tcW w:w="1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Незадовільно</w:t>
                  </w:r>
                </w:p>
              </w:tc>
              <w:tc>
                <w:tcPr>
                  <w:tcW w:w="16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E60" w:rsidRPr="008E3E60" w:rsidRDefault="008E3E60" w:rsidP="008E3E60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8E3E60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зараховано (з обов’язковим повторним вивченням дисципліни)</w:t>
                  </w:r>
                </w:p>
              </w:tc>
            </w:tr>
          </w:tbl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3E60" w:rsidRPr="00762640" w:rsidTr="008E3E60">
        <w:tc>
          <w:tcPr>
            <w:tcW w:w="3085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Студентам на замітку</w:t>
            </w:r>
          </w:p>
        </w:tc>
        <w:tc>
          <w:tcPr>
            <w:tcW w:w="6486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Відвідування занять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важливою складовою навчання. Всі студенти повинні відвідувати усі лекції і практичні заняття курсу. У будь-якому випадку </w:t>
            </w:r>
            <w:r w:rsidR="007F6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журналі записи про відсутність на занятті оформляться в </w:t>
            </w:r>
            <w:proofErr w:type="spellStart"/>
            <w:r w:rsidR="007F6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відмінусовані</w:t>
            </w:r>
            <w:proofErr w:type="spellEnd"/>
            <w:r w:rsidR="007F6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бали.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Література.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Література, яка надається викладачем, використовується студентами виключно в освітніх цілях без права її передачі третім особам. Також вітається використання студентами іншої літератури та джерел, яких 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немає серед рекомендованих.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8E3E60" w:rsidRPr="00762640" w:rsidTr="008E3E60">
        <w:tc>
          <w:tcPr>
            <w:tcW w:w="3085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Опитування</w:t>
            </w:r>
          </w:p>
        </w:tc>
        <w:tc>
          <w:tcPr>
            <w:tcW w:w="6486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8E3E60" w:rsidRPr="008E3E60" w:rsidRDefault="008E3E60" w:rsidP="008E3E6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3E60" w:rsidRPr="008E3E60" w:rsidRDefault="008E3E60" w:rsidP="008E3E6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E3E60" w:rsidRPr="008E3E60" w:rsidRDefault="008E3E60" w:rsidP="008E3E6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E3E60" w:rsidRPr="008E3E60" w:rsidRDefault="008E3E60" w:rsidP="008E3E60">
      <w:pPr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E3E60" w:rsidRPr="008E3E60" w:rsidRDefault="008E3E60" w:rsidP="008E3E60">
      <w:pPr>
        <w:rPr>
          <w:rFonts w:ascii="Times New Roman" w:hAnsi="Times New Roman" w:cs="Times New Roman"/>
          <w:bCs/>
          <w:sz w:val="24"/>
          <w:szCs w:val="24"/>
          <w:lang w:val="uk-UA"/>
        </w:rPr>
        <w:sectPr w:rsidR="008E3E60" w:rsidRPr="008E3E60" w:rsidSect="008E3E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E60" w:rsidRPr="008E3E60" w:rsidRDefault="008E3E60" w:rsidP="008E3E60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E3E60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СХЕМА КУРСУ</w:t>
      </w:r>
    </w:p>
    <w:p w:rsidR="008E3E60" w:rsidRPr="008E3E60" w:rsidRDefault="008E3E60" w:rsidP="008E3E6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8E3E6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8E3E60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7F6D8A">
        <w:rPr>
          <w:rFonts w:ascii="Times New Roman" w:hAnsi="Times New Roman" w:cs="Times New Roman"/>
          <w:sz w:val="24"/>
          <w:szCs w:val="24"/>
          <w:lang w:val="uk-UA"/>
        </w:rPr>
        <w:t xml:space="preserve">/2021 </w:t>
      </w:r>
      <w:proofErr w:type="spellStart"/>
      <w:r w:rsidR="007F6D8A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7F6D8A">
        <w:rPr>
          <w:rFonts w:ascii="Times New Roman" w:hAnsi="Times New Roman" w:cs="Times New Roman"/>
          <w:sz w:val="24"/>
          <w:szCs w:val="24"/>
          <w:lang w:val="uk-UA"/>
        </w:rPr>
        <w:t>., семестр І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1418"/>
        <w:gridCol w:w="2126"/>
        <w:gridCol w:w="3260"/>
        <w:gridCol w:w="1560"/>
      </w:tblGrid>
      <w:tr w:rsidR="008E3E60" w:rsidRPr="008E3E60" w:rsidTr="008E3E60">
        <w:tc>
          <w:tcPr>
            <w:tcW w:w="1242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Тиждень/Дата</w:t>
            </w:r>
          </w:p>
        </w:tc>
        <w:tc>
          <w:tcPr>
            <w:tcW w:w="3969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Тема, план, тези</w:t>
            </w:r>
          </w:p>
        </w:tc>
        <w:tc>
          <w:tcPr>
            <w:tcW w:w="141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діяльності</w:t>
            </w:r>
          </w:p>
        </w:tc>
        <w:tc>
          <w:tcPr>
            <w:tcW w:w="2126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32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Завдання, год.</w:t>
            </w:r>
          </w:p>
        </w:tc>
        <w:tc>
          <w:tcPr>
            <w:tcW w:w="15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8E3E60" w:rsidRPr="00762640" w:rsidTr="008E3E60">
        <w:tc>
          <w:tcPr>
            <w:tcW w:w="1242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333" w:type="dxa"/>
            <w:gridSpan w:val="5"/>
          </w:tcPr>
          <w:p w:rsidR="008E3E60" w:rsidRPr="008E3E60" w:rsidRDefault="007F6D8A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1. </w:t>
            </w:r>
            <w:r w:rsidRPr="007F6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Різниця між усним та письмовим перекладом</w:t>
            </w:r>
            <w:r w:rsidR="008E3E60" w:rsidRPr="007F6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8E3E60" w:rsidRPr="007F6D8A" w:rsidTr="008E3E60">
        <w:tc>
          <w:tcPr>
            <w:tcW w:w="1242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8E3E60" w:rsidRPr="008E3E60" w:rsidRDefault="008E3E60" w:rsidP="007F6D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1.</w:t>
            </w:r>
            <w:r w:rsidR="007F6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F6D8A" w:rsidRPr="007F6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Спільні і відмінні риси усного та письмового перекладу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Основна:  </w:t>
            </w:r>
          </w:p>
          <w:p w:rsidR="008E3E60" w:rsidRPr="008E3E60" w:rsidRDefault="007F6D8A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3E60" w:rsidRPr="007F6D8A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Інтернет-ресурс: </w:t>
            </w:r>
          </w:p>
        </w:tc>
        <w:tc>
          <w:tcPr>
            <w:tcW w:w="32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(3 год.)</w:t>
            </w:r>
          </w:p>
          <w:p w:rsidR="008E3E60" w:rsidRPr="008E3E60" w:rsidRDefault="007F6D8A" w:rsidP="007F6D8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Розрахунок потреби в часі для перекладу тексту однакової довжини – відповідно в письмовому вигляді та усно.</w:t>
            </w:r>
          </w:p>
        </w:tc>
        <w:tc>
          <w:tcPr>
            <w:tcW w:w="15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семестру</w:t>
            </w:r>
          </w:p>
        </w:tc>
      </w:tr>
      <w:tr w:rsidR="008E3E60" w:rsidRPr="008E3E60" w:rsidTr="008E3E60">
        <w:tc>
          <w:tcPr>
            <w:tcW w:w="1242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8E3E60" w:rsidRPr="008E3E60" w:rsidRDefault="008E3E60" w:rsidP="007F6D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2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F6D8A" w:rsidRPr="007F6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види усного перекладу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41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8E3E60" w:rsidRPr="008E3E60" w:rsidRDefault="007F6D8A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Основна: </w:t>
            </w:r>
          </w:p>
          <w:p w:rsidR="008E3E60" w:rsidRPr="008E3E60" w:rsidRDefault="007F6D8A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</w:t>
            </w:r>
          </w:p>
        </w:tc>
        <w:tc>
          <w:tcPr>
            <w:tcW w:w="32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 (5 год.)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тем:</w:t>
            </w:r>
          </w:p>
          <w:p w:rsidR="008E3E60" w:rsidRPr="007F6D8A" w:rsidRDefault="007F6D8A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шушотаж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community interpreting,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сурдопереклад</w:t>
            </w:r>
            <w:proofErr w:type="spellEnd"/>
          </w:p>
        </w:tc>
        <w:tc>
          <w:tcPr>
            <w:tcW w:w="1560" w:type="dxa"/>
          </w:tcPr>
          <w:p w:rsid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перше практичне заняття</w:t>
            </w:r>
          </w:p>
          <w:p w:rsidR="007F6D8A" w:rsidRDefault="007F6D8A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F6D8A" w:rsidRPr="008E3E60" w:rsidRDefault="007F6D8A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F6D8A" w:rsidRPr="00762640" w:rsidTr="001F3677">
        <w:tc>
          <w:tcPr>
            <w:tcW w:w="13575" w:type="dxa"/>
            <w:gridSpan w:val="6"/>
          </w:tcPr>
          <w:p w:rsidR="007F6D8A" w:rsidRPr="007F6D8A" w:rsidRDefault="007F6D8A" w:rsidP="007F6D8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  <w:r w:rsidRPr="007F6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2. Стратегії усного перекладу</w:t>
            </w:r>
          </w:p>
        </w:tc>
      </w:tr>
      <w:tr w:rsidR="008E3E60" w:rsidRPr="00762640" w:rsidTr="008E3E60">
        <w:tc>
          <w:tcPr>
            <w:tcW w:w="1242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8E3E60" w:rsidRPr="008E3E60" w:rsidRDefault="007F6D8A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D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F6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Однобічний послідовний переклад. Мнемотехніка</w:t>
            </w:r>
            <w:r w:rsidR="00D16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Перекладацькі нотатки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E3E60" w:rsidRPr="008E3E60" w:rsidRDefault="007F6D8A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Основна: </w:t>
            </w:r>
          </w:p>
          <w:p w:rsidR="008E3E60" w:rsidRPr="008E3E60" w:rsidRDefault="008E3E60" w:rsidP="007F6D8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Додаткова:</w:t>
            </w:r>
          </w:p>
        </w:tc>
        <w:tc>
          <w:tcPr>
            <w:tcW w:w="32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год.)</w:t>
            </w:r>
          </w:p>
          <w:p w:rsid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теми:</w:t>
            </w:r>
          </w:p>
          <w:p w:rsidR="00367831" w:rsidRPr="008E3E60" w:rsidRDefault="00367831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різними техніками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запам»ятовування</w:t>
            </w:r>
            <w:proofErr w:type="spellEnd"/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3E60" w:rsidRPr="00762640" w:rsidTr="008E3E60">
        <w:tc>
          <w:tcPr>
            <w:tcW w:w="1242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7F6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Послідовний переклад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E3E60" w:rsidRPr="008E3E60" w:rsidRDefault="007F6D8A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практичне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заняття</w:t>
            </w:r>
          </w:p>
        </w:tc>
        <w:tc>
          <w:tcPr>
            <w:tcW w:w="2126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Основна: 1 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Додаткова: 12, 27</w:t>
            </w:r>
          </w:p>
        </w:tc>
        <w:tc>
          <w:tcPr>
            <w:tcW w:w="32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  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 (4 год.)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Самостійне опрацювання тем:</w:t>
            </w:r>
          </w:p>
          <w:p w:rsidR="008E3E60" w:rsidRPr="008E3E60" w:rsidRDefault="00367831" w:rsidP="003678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записів виступів під послідовний переклад, покроковий аналіз роботи перекладача</w:t>
            </w:r>
            <w:r w:rsidR="008E3E60"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3E60" w:rsidRPr="00762640" w:rsidTr="008E3E60">
        <w:tc>
          <w:tcPr>
            <w:tcW w:w="1242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8E3E60" w:rsidRPr="008E3E60" w:rsidRDefault="008E3E60" w:rsidP="007F6D8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F6D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ослідовний переклад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160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Перемикання з однієї мови на іншу.</w:t>
            </w:r>
          </w:p>
        </w:tc>
        <w:tc>
          <w:tcPr>
            <w:tcW w:w="141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8E3E60" w:rsidRPr="008E3E60" w:rsidRDefault="00D160EE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Основна: </w:t>
            </w:r>
          </w:p>
          <w:p w:rsidR="008E3E60" w:rsidRPr="008E3E60" w:rsidRDefault="00D160EE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Інтернет-ресурс: 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год.)</w:t>
            </w:r>
          </w:p>
          <w:p w:rsid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тем:</w:t>
            </w:r>
          </w:p>
          <w:p w:rsidR="00367831" w:rsidRDefault="00367831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список німецько-українських відповідників до обраної теми, тренування в обидвох напрямках </w:t>
            </w:r>
          </w:p>
          <w:p w:rsidR="00367831" w:rsidRPr="008E3E60" w:rsidRDefault="00367831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інтернет-джерел до запропонованої теми (час виконання 3-4 тижні)</w:t>
            </w:r>
          </w:p>
        </w:tc>
      </w:tr>
      <w:tr w:rsidR="008E3E60" w:rsidRPr="00762640" w:rsidTr="008E3E60">
        <w:tc>
          <w:tcPr>
            <w:tcW w:w="1242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8E3E60" w:rsidRPr="008E3E60" w:rsidRDefault="00D160EE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Фокусування на важливій інформації. Синтаксичні парафрази в усному перекладі. </w:t>
            </w:r>
          </w:p>
        </w:tc>
        <w:tc>
          <w:tcPr>
            <w:tcW w:w="141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8E3E60" w:rsidRPr="008E3E60" w:rsidRDefault="00D160EE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Основна: 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3E60" w:rsidRPr="008E3E60" w:rsidRDefault="00D160EE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Інтернет-ресурс: </w:t>
            </w:r>
          </w:p>
        </w:tc>
        <w:tc>
          <w:tcPr>
            <w:tcW w:w="32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 год.)</w:t>
            </w:r>
          </w:p>
          <w:p w:rsidR="008E3E60" w:rsidRPr="008E3E60" w:rsidRDefault="00367831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письмовими та усними джерелами</w:t>
            </w:r>
          </w:p>
        </w:tc>
        <w:tc>
          <w:tcPr>
            <w:tcW w:w="15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другому місяці вивчення теми</w:t>
            </w:r>
          </w:p>
        </w:tc>
      </w:tr>
      <w:tr w:rsidR="008E3E60" w:rsidRPr="00762640" w:rsidTr="008E3E60">
        <w:tc>
          <w:tcPr>
            <w:tcW w:w="1242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969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4. </w:t>
            </w:r>
            <w:r w:rsidR="00D160E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Синхронний усний переклад. Розвиток в діахронії. Технічне оснащення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8E3E60" w:rsidRPr="008E3E60" w:rsidRDefault="00D160EE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8E3E60" w:rsidRPr="008E3E60" w:rsidRDefault="00D160EE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="008E3E60" w:rsidRPr="008E3E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  <w:r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 год.)</w:t>
            </w:r>
          </w:p>
          <w:p w:rsid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тем:</w:t>
            </w:r>
          </w:p>
          <w:p w:rsidR="00367831" w:rsidRPr="008E3E60" w:rsidRDefault="00367831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Нюрнберзький процес. Перегляд фільму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«Нюрнберзький процес»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5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3E60" w:rsidRPr="00367831" w:rsidTr="008E3E60">
        <w:tc>
          <w:tcPr>
            <w:tcW w:w="1242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969" w:type="dxa"/>
          </w:tcPr>
          <w:p w:rsidR="008E3E60" w:rsidRPr="008E3E60" w:rsidRDefault="00D160EE" w:rsidP="00D160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Перебування на одній хвилі з мовцем. Метод антиципації.</w:t>
            </w:r>
          </w:p>
        </w:tc>
        <w:tc>
          <w:tcPr>
            <w:tcW w:w="141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8E3E60" w:rsidRPr="008E3E60" w:rsidRDefault="00D160EE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Основна: </w:t>
            </w:r>
          </w:p>
          <w:p w:rsidR="008E3E60" w:rsidRPr="008E3E60" w:rsidRDefault="00D160EE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</w:t>
            </w:r>
          </w:p>
        </w:tc>
        <w:tc>
          <w:tcPr>
            <w:tcW w:w="3260" w:type="dxa"/>
          </w:tcPr>
          <w:p w:rsidR="008E3E60" w:rsidRPr="008E3E60" w:rsidRDefault="00367831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на антиципацію, прослуховування радіопередач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0EE" w:rsidRPr="00831F5B" w:rsidTr="008E3E60">
        <w:tc>
          <w:tcPr>
            <w:tcW w:w="1242" w:type="dxa"/>
          </w:tcPr>
          <w:p w:rsidR="00D160EE" w:rsidRPr="008E3E60" w:rsidRDefault="00D160EE" w:rsidP="008E3E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969" w:type="dxa"/>
          </w:tcPr>
          <w:p w:rsidR="00D160EE" w:rsidRDefault="00831F5B" w:rsidP="00D16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Конкретизація і узагальнення в усному перекладі. </w:t>
            </w:r>
          </w:p>
        </w:tc>
        <w:tc>
          <w:tcPr>
            <w:tcW w:w="1418" w:type="dxa"/>
          </w:tcPr>
          <w:p w:rsidR="00D160EE" w:rsidRPr="008E3E60" w:rsidRDefault="00831F5B" w:rsidP="008E3E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D160EE" w:rsidRDefault="00D160EE" w:rsidP="008E3E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160EE" w:rsidRPr="008E3E60" w:rsidRDefault="00D160EE" w:rsidP="008E3E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D160EE" w:rsidRPr="008E3E60" w:rsidRDefault="00D160EE" w:rsidP="008E3E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1F5B" w:rsidRPr="00831F5B" w:rsidTr="008E3E60">
        <w:tc>
          <w:tcPr>
            <w:tcW w:w="1242" w:type="dxa"/>
          </w:tcPr>
          <w:p w:rsidR="00831F5B" w:rsidRDefault="00831F5B" w:rsidP="008E3E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969" w:type="dxa"/>
          </w:tcPr>
          <w:p w:rsidR="00831F5B" w:rsidRDefault="00831F5B" w:rsidP="00D16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Дикція, темп мовлення і тембр голосу перекладача.</w:t>
            </w:r>
          </w:p>
        </w:tc>
        <w:tc>
          <w:tcPr>
            <w:tcW w:w="1418" w:type="dxa"/>
          </w:tcPr>
          <w:p w:rsidR="00831F5B" w:rsidRDefault="00831F5B" w:rsidP="008E3E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831F5B" w:rsidRDefault="00831F5B" w:rsidP="008E3E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831F5B" w:rsidRPr="008E3E60" w:rsidRDefault="00831F5B" w:rsidP="008E3E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31F5B" w:rsidRPr="008E3E60" w:rsidRDefault="00831F5B" w:rsidP="008E3E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3E60" w:rsidRPr="00762640" w:rsidTr="008E3E60">
        <w:tc>
          <w:tcPr>
            <w:tcW w:w="1242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333" w:type="dxa"/>
            <w:gridSpan w:val="5"/>
          </w:tcPr>
          <w:p w:rsidR="008E3E60" w:rsidRPr="008E3E60" w:rsidRDefault="00D160EE" w:rsidP="00D160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3</w:t>
            </w:r>
            <w:r w:rsidR="008E3E60"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831F5B" w:rsidRPr="00831F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вимоги до фахівця з усного перекладу</w:t>
            </w:r>
          </w:p>
        </w:tc>
      </w:tr>
      <w:tr w:rsidR="008E3E60" w:rsidRPr="008E3E60" w:rsidTr="008E3E60">
        <w:tc>
          <w:tcPr>
            <w:tcW w:w="1242" w:type="dxa"/>
          </w:tcPr>
          <w:p w:rsidR="008E3E60" w:rsidRPr="008E3E60" w:rsidRDefault="00831F5B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969" w:type="dxa"/>
          </w:tcPr>
          <w:p w:rsidR="008E3E60" w:rsidRPr="008E3E60" w:rsidRDefault="00D160EE" w:rsidP="00831F5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5</w:t>
            </w:r>
            <w:r w:rsidR="008E3E60"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831F5B" w:rsidRPr="0083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Оцінювання роботи усного перекладача.</w:t>
            </w:r>
          </w:p>
        </w:tc>
        <w:tc>
          <w:tcPr>
            <w:tcW w:w="141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8E3E60" w:rsidRPr="008E3E60" w:rsidRDefault="00831F5B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Основна: </w:t>
            </w:r>
            <w:r w:rsidR="008E3E60"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 (5 год.)</w:t>
            </w:r>
          </w:p>
          <w:p w:rsidR="008E3E60" w:rsidRPr="008E3E60" w:rsidRDefault="00367831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Самостійне опрацювання теми. Робота з голосом.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 семестру</w:t>
            </w:r>
          </w:p>
        </w:tc>
      </w:tr>
      <w:tr w:rsidR="008E3E60" w:rsidRPr="00762640" w:rsidTr="008E3E60">
        <w:tc>
          <w:tcPr>
            <w:tcW w:w="1242" w:type="dxa"/>
          </w:tcPr>
          <w:p w:rsidR="008E3E60" w:rsidRPr="008E3E60" w:rsidRDefault="00831F5B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969" w:type="dxa"/>
          </w:tcPr>
          <w:p w:rsidR="008E3E60" w:rsidRPr="008E3E60" w:rsidRDefault="00831F5B" w:rsidP="00831F5B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6</w:t>
            </w:r>
            <w:r w:rsidR="008E3E60" w:rsidRPr="008E3E6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 w:rsidR="008E3E60"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831F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етика усного перекладача</w:t>
            </w:r>
          </w:p>
        </w:tc>
        <w:tc>
          <w:tcPr>
            <w:tcW w:w="141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8E3E60" w:rsidRPr="008E3E60" w:rsidRDefault="00831F5B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Основна: </w:t>
            </w:r>
          </w:p>
        </w:tc>
        <w:tc>
          <w:tcPr>
            <w:tcW w:w="32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 (4 год.)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Самостійне </w:t>
            </w:r>
            <w:r w:rsidR="00367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теми. Укладення професійного кодексу усного перекладача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практичне заняття до заданої теми</w:t>
            </w:r>
          </w:p>
        </w:tc>
      </w:tr>
      <w:tr w:rsidR="008E3E60" w:rsidRPr="008E3E60" w:rsidTr="008E3E60">
        <w:tc>
          <w:tcPr>
            <w:tcW w:w="1242" w:type="dxa"/>
          </w:tcPr>
          <w:p w:rsidR="008E3E60" w:rsidRPr="008E3E60" w:rsidRDefault="00831F5B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969" w:type="dxa"/>
          </w:tcPr>
          <w:p w:rsidR="008E3E60" w:rsidRPr="008E3E60" w:rsidRDefault="00831F5B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Представлення і обговорення домашніх завдань</w:t>
            </w:r>
            <w:r w:rsidR="008E3E60"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 </w:t>
            </w:r>
          </w:p>
        </w:tc>
        <w:tc>
          <w:tcPr>
            <w:tcW w:w="2126" w:type="dxa"/>
          </w:tcPr>
          <w:p w:rsidR="008E3E60" w:rsidRPr="008E3E60" w:rsidRDefault="00831F5B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Основна: </w:t>
            </w:r>
            <w:r w:rsidR="008E3E60"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третьому місяці курсу</w:t>
            </w:r>
          </w:p>
        </w:tc>
      </w:tr>
      <w:tr w:rsidR="008E3E60" w:rsidRPr="00762640" w:rsidTr="008E3E60">
        <w:tc>
          <w:tcPr>
            <w:tcW w:w="1242" w:type="dxa"/>
          </w:tcPr>
          <w:p w:rsidR="008E3E60" w:rsidRPr="008E3E60" w:rsidRDefault="00831F5B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3969" w:type="dxa"/>
          </w:tcPr>
          <w:p w:rsidR="008E3E60" w:rsidRPr="008E3E60" w:rsidRDefault="00367831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Представлення і обговорення домашніх завдань.</w:t>
            </w:r>
          </w:p>
        </w:tc>
        <w:tc>
          <w:tcPr>
            <w:tcW w:w="141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8E3E60" w:rsidRPr="008E3E60" w:rsidRDefault="00831F5B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Основна: </w:t>
            </w:r>
          </w:p>
        </w:tc>
        <w:tc>
          <w:tcPr>
            <w:tcW w:w="32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3E60" w:rsidRPr="00762640" w:rsidTr="008E3E60">
        <w:tc>
          <w:tcPr>
            <w:tcW w:w="1242" w:type="dxa"/>
          </w:tcPr>
          <w:p w:rsidR="008E3E60" w:rsidRPr="008E3E60" w:rsidRDefault="00831F5B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969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78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Усний перекладач як медіатор порозуміння в сучасному світі економіки, політики і культури.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2126" w:type="dxa"/>
          </w:tcPr>
          <w:p w:rsidR="008E3E60" w:rsidRPr="008E3E60" w:rsidRDefault="00831F5B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3E60" w:rsidRPr="008E3E60" w:rsidRDefault="00831F5B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Додаткова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</w:tc>
        <w:tc>
          <w:tcPr>
            <w:tcW w:w="32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3E60" w:rsidRPr="008E3E60" w:rsidRDefault="00367831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Самостійне опрацювання теми: </w:t>
            </w:r>
            <w:r w:rsidR="005004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Випадки притягнення перекладачів до судової відповідальності.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3E60" w:rsidRPr="00500487" w:rsidTr="008E3E60">
        <w:tc>
          <w:tcPr>
            <w:tcW w:w="1242" w:type="dxa"/>
          </w:tcPr>
          <w:p w:rsidR="008E3E60" w:rsidRPr="008E3E60" w:rsidRDefault="00831F5B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969" w:type="dxa"/>
          </w:tcPr>
          <w:p w:rsidR="008E3E60" w:rsidRPr="008E3E60" w:rsidRDefault="00500487" w:rsidP="008E3E60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Підсумкове заняття до матеріалу, вивченого упродовж семестру. </w:t>
            </w:r>
          </w:p>
        </w:tc>
        <w:tc>
          <w:tcPr>
            <w:tcW w:w="1418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3E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2126" w:type="dxa"/>
          </w:tcPr>
          <w:p w:rsidR="008E3E60" w:rsidRPr="008E3E60" w:rsidRDefault="00831F5B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Основна: 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3E60" w:rsidRPr="008E3E60" w:rsidRDefault="00831F5B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Додаткова: </w:t>
            </w:r>
          </w:p>
        </w:tc>
        <w:tc>
          <w:tcPr>
            <w:tcW w:w="3260" w:type="dxa"/>
          </w:tcPr>
          <w:p w:rsidR="008E3E60" w:rsidRPr="008E3E60" w:rsidRDefault="00500487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Перелік тем, що потребують докладнішого вивчення. </w:t>
            </w:r>
          </w:p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8E3E60" w:rsidRPr="008E3E60" w:rsidRDefault="008E3E60" w:rsidP="008E3E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E3E60" w:rsidRPr="008E3E60" w:rsidRDefault="008E3E60" w:rsidP="008E3E60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3E60" w:rsidRPr="008E3E60" w:rsidRDefault="008E3E60" w:rsidP="008E3E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E3E60" w:rsidRPr="008E3E60" w:rsidRDefault="008E3E60" w:rsidP="008E3E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728CA" w:rsidRPr="00500487" w:rsidRDefault="000728CA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728CA" w:rsidRPr="00500487" w:rsidSect="008E3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3D5E"/>
    <w:multiLevelType w:val="hybridMultilevel"/>
    <w:tmpl w:val="E04C6714"/>
    <w:lvl w:ilvl="0" w:tplc="D20EE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B18B6"/>
    <w:multiLevelType w:val="hybridMultilevel"/>
    <w:tmpl w:val="470E7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91BEE"/>
    <w:multiLevelType w:val="hybridMultilevel"/>
    <w:tmpl w:val="E04C6714"/>
    <w:lvl w:ilvl="0" w:tplc="D20EE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572C3"/>
    <w:multiLevelType w:val="hybridMultilevel"/>
    <w:tmpl w:val="D840B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5C069E"/>
    <w:multiLevelType w:val="hybridMultilevel"/>
    <w:tmpl w:val="02CCA0F8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EB23A8"/>
    <w:multiLevelType w:val="hybridMultilevel"/>
    <w:tmpl w:val="186E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6F5FF5"/>
    <w:multiLevelType w:val="hybridMultilevel"/>
    <w:tmpl w:val="85801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6365A"/>
    <w:multiLevelType w:val="hybridMultilevel"/>
    <w:tmpl w:val="366061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B2CAC"/>
    <w:multiLevelType w:val="hybridMultilevel"/>
    <w:tmpl w:val="1D58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01FF9"/>
    <w:multiLevelType w:val="hybridMultilevel"/>
    <w:tmpl w:val="D564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60"/>
    <w:rsid w:val="000728CA"/>
    <w:rsid w:val="00367831"/>
    <w:rsid w:val="00500487"/>
    <w:rsid w:val="00762640"/>
    <w:rsid w:val="007F6D8A"/>
    <w:rsid w:val="00831F5B"/>
    <w:rsid w:val="008E3E60"/>
    <w:rsid w:val="00B752C2"/>
    <w:rsid w:val="00C17BB2"/>
    <w:rsid w:val="00D160EE"/>
    <w:rsid w:val="00E0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3E6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E3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3E6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E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hrystyna.Nazarkevych@lnu.edu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20611-F5E8-456A-9C4F-75890A7C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8284</Words>
  <Characters>4722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ЩЛ</cp:lastModifiedBy>
  <cp:revision>2</cp:revision>
  <dcterms:created xsi:type="dcterms:W3CDTF">2020-09-15T10:20:00Z</dcterms:created>
  <dcterms:modified xsi:type="dcterms:W3CDTF">2020-09-15T10:20:00Z</dcterms:modified>
</cp:coreProperties>
</file>