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Факультет іноземних мов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Кафедра перекладознавства і контрастивної лінгвістики імені Григорія Кочура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524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D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засіданні кафедри перекладознавства і контрастивної лінгвістики імені Григорія Кочура</w:t>
      </w:r>
    </w:p>
    <w:p w:rsidR="00000000" w:rsidDel="00000000" w:rsidP="00000000" w:rsidRDefault="00000000" w:rsidRPr="00000000" w14:paraId="0000000E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факультету іноземних мов</w:t>
      </w:r>
    </w:p>
    <w:p w:rsidR="00000000" w:rsidDel="00000000" w:rsidP="00000000" w:rsidRDefault="00000000" w:rsidRPr="00000000" w14:paraId="0000000F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10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(протокол № ____ від 2.02. 2022 р.)</w:t>
      </w:r>
    </w:p>
    <w:p w:rsidR="00000000" w:rsidDel="00000000" w:rsidP="00000000" w:rsidRDefault="00000000" w:rsidRPr="00000000" w14:paraId="00000011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 кафедри</w:t>
      </w:r>
    </w:p>
    <w:p w:rsidR="00000000" w:rsidDel="00000000" w:rsidP="00000000" w:rsidRDefault="00000000" w:rsidRPr="00000000" w14:paraId="00000014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д.ф.н. Дзера О.В.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«Жанрові теорії перекладу»,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що викладається в межах ОПП 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«Переклад (англійська і друга іноземні мови)»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другого (магістерського) освітньо-наукового рівня 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вищої освіти для здобувачів з спеціальності </w:t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«035 – Філологія» </w:t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Львів 2022 р.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4.0" w:type="dxa"/>
        <w:jc w:val="left"/>
        <w:tblInd w:w="-546.0" w:type="dxa"/>
        <w:tblLayout w:type="fixed"/>
        <w:tblLook w:val="0000"/>
      </w:tblPr>
      <w:tblGrid>
        <w:gridCol w:w="2782"/>
        <w:gridCol w:w="7452"/>
        <w:tblGridChange w:id="0">
          <w:tblGrid>
            <w:gridCol w:w="2782"/>
            <w:gridCol w:w="74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Жанрові теорії перекладу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Львівський національний університет імені Івана Франка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іноземних мов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перекладознавства і контрастивної лінгвістики імені Григорія Кочура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Гуманітарні науки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035 Філологія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спеціалізація 035.041 – Германські мови та літератури (переклад – включно), перша – англійська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Дзера Оксана Василівна, доктор філологічних наук, доцент, завідувач кафедри перекладознавства і контрастивної лінгвістики імені Григорія Кочура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oksana.dzera@lnu.edu.ua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Консультації з питань навчання по дисципліні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Skype, Zoom, Microsoft Teams або подібні ресурси. Для погодження часу он-лайн консультацій слід писати на електронну пошту, вайбер або телеграм викладача.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https://lingua.lnu.edu.ua/en/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дисципліну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є завершальним оглядом теоретичних підходів до типології текстів і теорії жанрів, застосованої до теорії перекладу.  Подається історичний огляд жанрового поділу метатекстів та окреслюються сучасні жанрові теорії перекладу, що розглядаються з погляду двох головних підходів: жанрів перекладної літератури і жанрово-стилістичної домінанти оригінальних текстів, що визначає стратегії і тактики перекладу. Окремо розглядається типологія текстів. Курс розроблено таким чином, щоб надати студентам необхідні знання усіх сучасних жанрів і типів перекладу і спрямовано на підготувку майбутніх перекладачів та спеціалістів суміжних спеціальностей (локалізаторів, транскреаторів, менеджерів перекладацьких проектів, пост-редакторів).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Окремим компонентом курсу є детальний аналіз жанру дипломної роботи магістерського рівня.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«Жанрові теорії перекладу» є вибірковою дисципліною в межах освітньої програми «Переклад (англійська та друга іноземні мови», яка викладається в 2 семестрі в обсязі 3 кредитів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Метою вивчення вибіркової дисципліни «Жанрові теорії перекладу» є забезпечити студентів теоретичним підґрунтям, необхідним для розв’язання прикладних перекладацьких завдань; розвинути перекладознавчу метамову; випрацювати практичні навички перекладу та перекладознавчого аналізу різножанрових текстів. Окремою метою курсу є підготувати студентів до написання дипломної роботи. 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5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Основна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1. Дзера О. Intertextuality and translation theory: strategies of research.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Наукові записки Національного університету “Острозька академія”. Серія “Філологія”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Острог: Вид-во Нац. ун-ту “Острозька академія”, 2018. Вип 2(70). С. 11–15. 2. Копистянська 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rtl w:val="0"/>
              </w:rPr>
              <w:t xml:space="preserve">Жанр, Жанрова система у просторі літературознавства. Монографія. Львів: "ПАІС", 2005р., 368 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 Дзера О. Жанри художнього перекладу.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Записки перекладацької майстерні.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Львів: Вид-во Львів. нац. ун-ту імені І. Франка, 2001. С. 18–38.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rtl w:val="0"/>
              </w:rPr>
              <w:t xml:space="preserve"> Biel L. Genre analysis and translation. The Routledge Handbook of Translation Studies and Linguistics, 2018.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https://www.routledgehandbooks.com/doi/10.4324/9781315692845-11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rtl w:val="0"/>
              </w:rPr>
              <w:t xml:space="preserve">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Kuhiwczak P., Littau T. A Companion to Translation Studies. Clevendon: Multilingual Matters Ltd, 2007. 182 p. 6. Munday J. Introducing Translation Studies. Theories and Applications. London; New York: Routledge, 2001. 222 p.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1. Зорівчак Р.П. Боліти болем слова нашого… Львів: ЛНУ ім. І, Франка, 2005. 295 с. 2. Holmes J. Translated Papers on Literary Translation and Translation Studies. – Amsterdam: Rodopi, 1988. 117 p. 3. Reiss K. Text Types, Translation Types and Translation Assessment.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Readings in Translation Theory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/ ed. by A. Chesterman. Helsinki: Finn Lecture, 1989. P. 105−115. 4. Haque Z. Translating Literary Prose: Problems and Solutions.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English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Vol. 2, No. 6. 2012. P. 97-111. 5. Hewson L., Martin J. Redefining translation. The variational approach. London &amp; New York: Routledge, Chapman &amp; Hall Inc, 1991. 6. Venuti L. Poetry and translation.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2011. 4:2, 127-132,  https://www.tandfonline.com/doi/full/10.1080/14781700.2011.560014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 годин аудиторних занять. З них 16 годин лекцій, 16 годин практичних занять та 40 годин самостійної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Знати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базову термінологію жанрової теорії;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ключові аспекти жанрової теорії;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перекладу у сучасному науковому світі;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головні літературні жанри, способи їх відтворення, типи текстів і види їх перекладу.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структурні елементи дипломної роботи  магістерського рівня та методи дослідження (загальні й спеціальні, зокрема перекладознавчо-орієнтовані).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Вміти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визначати головні жанри і типи перекладу;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обирати перекладацькі стратегії згідно з жанрово-стилістичною домінантою тексту;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писати дипломну роботу з дотриманням усіх методологічних і структурних вимог.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0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Жанри, епос, лірика, драма, прототип, інтертекстуальність, одивнення, літературність, метавірш, міметричний, аналогічний, органічний типи віршового перекладу, діалогічна модель перекладу, полісистема, норми перекладу, жанр наукового досліджження, методогія і методика дослідження, загальнонаукові і спеціальні методи дослідження, читабельність і сценічність, семіотика театру, мультимодальність, мідсеміотична надлишковість, субтитри і дубляж.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лекцій, практичних занять та консультацій для кращого розуміння тем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Див. СХЕМА КУРСУ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Модульний тест проводиться в кінці семестру.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Залік акумулятивний.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вивчення курсу студенти потребують базових знань з  таких  дисциплін як «вступ до мовознавства», «вступ до літературознавства», «теорія перекладу», «стилістика», достатніх для сприйняття категоріального апарату перекладознавства як міждисциплінарної науки.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обов’язково з мультимедійним супроводом (презентацією Power Point). Під час лекції частково і на практичному занятті застосовується метод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дискусії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а також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інструктажу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щодо виконання практичних завдань, презентацій та їх оцінювання.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Навчально-пізнавальну діяльність студентів регулюють наступні методи: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пояснювально-ілюстративний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репродуктивний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 (спрямований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уміння застосовувати знання за зразком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; проблемного виконання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 (студенти стежать за ходом вирішення проблеми викладачем);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евристичний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(студенти поетапно вирішують проблему під керівництвом викладача) 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 дослідницький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 (студенти вирішують поставлену викладачем проблему самостійно). Відповідно поєднуємо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пояснювально-спонукальний метод викладання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частково-пошуковий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метод учіння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333333"/>
                <w:sz w:val="24"/>
                <w:szCs w:val="24"/>
                <w:rtl w:val="0"/>
              </w:rPr>
              <w:t xml:space="preserve"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Проектор, навушники, програмне забезпечення, інтерактивна дошка.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протягом семестру акумулятивно за наступним співідношенням: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практичні: 50% семестрової оцінки; максимальна кількість балів 50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контрольні заміри (модулі): 50 % семестрової оцінки; максимальна кількість балів 50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Підсумкова максимальна кількість балів 100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Студенти виконують декілька видів письмових робіт (проєкт, модульний тест).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Проєкти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Питання до тестового модуля.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Жанр як наукове поняття. Підходи до таксономії жанрів.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Жанр перекладу і переклад різних жанрів.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Процес і структура наукового дослідження.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і методи наукових досліджень.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Типи і стратегії поетичного перекладу.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Переклад дитячої літератури.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Переклад для театру.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Переклад фільмів.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Локалізація і транскреація як види перекладу.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Схема курсу. 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552.0" w:type="dxa"/>
        <w:jc w:val="left"/>
        <w:tblInd w:w="-12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4111"/>
        <w:gridCol w:w="992"/>
        <w:gridCol w:w="4253"/>
        <w:gridCol w:w="567"/>
        <w:gridCol w:w="2062"/>
        <w:tblGridChange w:id="0">
          <w:tblGrid>
            <w:gridCol w:w="567"/>
            <w:gridCol w:w="4111"/>
            <w:gridCol w:w="992"/>
            <w:gridCol w:w="4253"/>
            <w:gridCol w:w="567"/>
            <w:gridCol w:w="20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Тиж.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Форма діяльності (заняття)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Література.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Завданнягод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Термін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1" w:right="0" w:hanging="98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1. Жанр як наукове поняття. Підходи до таксономії жанрів.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Жанр перекладу і переклад жанру.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Поняття жанру. Головні літературні жанри. Гібридні жанри.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Підходи до визначення жанру: дефінітивний, сімейної схожості, прототиповий, орієнтований на читача, інтертекстуальний, формальний.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Анти-жанрові теорії.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Жанр перекладу і переклад жанру:  окреслення різниці.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1" w:right="0" w:hanging="9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 Дзера О. Intertextuality and translation theory: strategies of research.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Наукові записки Національного університету “Острозька академія”. Серія “Філологія”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 Острог: Вид-во Нац. ун-ту “Острозька академія”, 2018. Вип 2(70). С. 11–15.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c4043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Копистянська 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16"/>
                <w:szCs w:val="16"/>
                <w:rtl w:val="0"/>
              </w:rPr>
              <w:t xml:space="preserve">Жанр, Жанрова система у просторі літературознавства. Монографія. Львів: "ПАІС", 2005, 368 с.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 Дзера О. Жанри художнього перекладу.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Записки перекладацької майстерні.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Львів: Вид-во Львів. нац. ун-ту імені І. Франка, 2001. С. 18–38.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16"/>
                <w:szCs w:val="16"/>
                <w:rtl w:val="0"/>
              </w:rPr>
              <w:t xml:space="preserve">4.Biel L. Genre analysis and translation. The Routledge Handbook of Translation Studies and Linguistics, 2018.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6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right="964.6062992125991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 2. Жанр магістерської наукової 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 (Тема 1)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Етапи наукового процесу.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Типи і структура дослідження.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Модель дослідження за Свейлзом.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Мета, завдання, об’єкт і предмет дослідження.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1.Swales E., Feak Ch.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Academic writing for graduate students. Essential tasks and skills. The University of Michigan Press, 2017.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2. Clough P, Nutbrown C. A student’s guide to methodology. LA: SAGE, 2012.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5-6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Тема 3. Жанр магістерської наукової  роботи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 (Тема 1)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Методика і методи лінгвістичних досліджень.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Загальні методи дослідження.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Лінгвістичні методи дослідження.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Методи перекладознавчих досліджень.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1. Kothary C. R. Research methodology. Methods and techniques. New Age International Lmt, Publishers, 2004.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 Богдан С. Методи і методика лінгвістичних досліджень. Луцьк: 2011. 28 с.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9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4. Жанр поетичного перекладу.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Підходи до аналізу поетичного перекладу.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Метавірш. Типи поетичного перекладу за Дж. Голмсом.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Діалогічна модель перекладу.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Полісистема та норми перекладу.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 Venuti L. Poetry and translation.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2011. 4:2, 127-132.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Holmes J.S. Forms of verse translation and the translation of verse form.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The nature of translation. Essays of the theory and practice of literary</w:t>
              <w:tab/>
              <w:t xml:space="preserve">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 Ed. by J.S. Holmes. Mouton, the Hague, Paris: Publ. House of Slovak Acad. of Sciences, 1970. P. 91-105.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021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 Коломієць 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16"/>
                <w:szCs w:val="16"/>
                <w:highlight w:val="white"/>
                <w:rtl w:val="0"/>
              </w:rPr>
              <w:t xml:space="preserve">Концептуально-методологічні засади українського поетичного перекладу: монографія. К.: ВПЦ Київський університет. 522 с.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Even-Zohar I. Papers in historical poetics. Tel Aviv: Porter Inst. for Poetics and Semiotics, 1978. 226 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9-10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9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5. Переклад для театру.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" w:right="0" w:hanging="2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Семіотика театру. Типологія театральних знаків Т. Ковзана.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" w:right="0" w:hanging="2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Драматичний діалог як проблема перекладу зв І. Лєвим.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6" w:right="0" w:hanging="23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Читабельність та сценічність театрального перекладу (С. Баснетт, П. Паві).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 Bassnett, S. (1991). Translating for the Theatre: The Case Against Performability. TTR, 4(1), 99–111.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16"/>
                  <w:szCs w:val="16"/>
                  <w:u w:val="single"/>
                  <w:rtl w:val="0"/>
                </w:rPr>
                <w:t xml:space="preserve">https://doi.org/10.7202/037084ar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263d"/>
                <w:sz w:val="16"/>
                <w:szCs w:val="16"/>
                <w:highlight w:val="white"/>
                <w:rtl w:val="0"/>
              </w:rPr>
              <w:t xml:space="preserve">Pavis P. Problems of Translation for the Stage. Interculturalism and Post-modern Theatre,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The Play Out of Context: Transferring Plays from Culture to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. Trans. Loren Kruger, Eds. Hanna Scolnicov and Peter Holland. Cambridge: Cambridge Univ. Press.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263d"/>
                <w:sz w:val="16"/>
                <w:szCs w:val="16"/>
                <w:highlight w:val="white"/>
                <w:rtl w:val="0"/>
              </w:rPr>
              <w:t xml:space="preserve">1989.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25-44.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3. Nicolarea E. Performability versus readability. A historical overview of a theoretical polarization in theatre translation.  Translation Journal and the Authors 2002.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16"/>
                  <w:szCs w:val="16"/>
                  <w:u w:val="single"/>
                  <w:rtl w:val="0"/>
                </w:rPr>
                <w:t xml:space="preserve">http://www3.uji.es/~aferna/H44/Translating-dramatic-texts.htm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11-12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5" w:right="0" w:hanging="9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Переклад фільмів.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Типи мультимодальних текстів.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Типи каналів інформації за М. Бейкер.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Субтитри і дубляж.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 Cattrysse, P., &amp; Gambier, Y. Screenwriting and translating screenplays. The didactics of audiovisual translation, 2008, p. 39-55.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Kuhiwczak P., Littau T. A Companion to Translation Studies. Clevendon: Multilingual Matters Ltd, 2007.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 Cintas, J. D. New trends in audiovisual translation. Bristol: Multilingual Matters, 2009. 216 p.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 Gambier, Y. &amp; Gottlieb, H. (Multi) media translation: concepts, practices, and research. Amsterdam/Philadelphia: John Benjamins Publishing, 2001. 298 p.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 O’Sullivan, C. Introduction: Multimodality as challenge and resource for translation.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The Journal of Specialised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2013, 2-14.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13-14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3" w:right="0" w:hanging="9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7. Переклад дитячої літератури. 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1.Особливості амбівалентних текстів та текстів для дитячої аудиторії.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Стратегії і тактики перекладу дитячої літератури.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5" w:right="0" w:hanging="90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 Allsobrook, M. (2004). Writers for adults, writers for children. Hunt, P.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International Companion Encyclopedia of Children’s Literature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. Abingdon: Routledge, 2004, p.576-586.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Shavit 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Poetics of children’s literature. – Athens, London: Univ. of Ceorgia Press, 1986.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 Методи перекладу поетичних уривків із „Аліси в Країні Чудес”: орієнтація на цільового читача.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Іноземна філологія.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Львів: Вид-во Львів. нац. ун-ту імені І. Франка, 2007. Вип. 119. С. 111–118.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15-16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5" w:right="0" w:hanging="9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Тема 8. Локалізація і транскреація як види перекладу.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Проблема розмежування типів перекладу.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Прагматичні особливості локалізації і трнскреації.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Лекція, практичне заняття, самостійна робота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1.Moving Boundaries of Translation / ed. by H. V. Dam, M. N. Brogger, K.K. Zethsen. – London &amp; New York: Routledge, 2019. – 238 p.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Kuhiwczak P., Littau T. A Companion to Translation Studies. Clevendon: Multilingual Matters Ltd, 2007.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 тижні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ind w:firstLine="567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ind w:firstLine="567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ungsuh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28" w:hanging="360"/>
      </w:pPr>
      <w:rPr/>
    </w:lvl>
    <w:lvl w:ilvl="1">
      <w:start w:val="1"/>
      <w:numFmt w:val="lowerLetter"/>
      <w:lvlText w:val="%2."/>
      <w:lvlJc w:val="left"/>
      <w:pPr>
        <w:ind w:left="1148" w:hanging="360"/>
      </w:pPr>
      <w:rPr/>
    </w:lvl>
    <w:lvl w:ilvl="2">
      <w:start w:val="1"/>
      <w:numFmt w:val="lowerRoman"/>
      <w:lvlText w:val="%3."/>
      <w:lvlJc w:val="right"/>
      <w:pPr>
        <w:ind w:left="1868" w:hanging="180"/>
      </w:pPr>
      <w:rPr/>
    </w:lvl>
    <w:lvl w:ilvl="3">
      <w:start w:val="1"/>
      <w:numFmt w:val="decimal"/>
      <w:lvlText w:val="%4."/>
      <w:lvlJc w:val="left"/>
      <w:pPr>
        <w:ind w:left="2588" w:hanging="360"/>
      </w:pPr>
      <w:rPr/>
    </w:lvl>
    <w:lvl w:ilvl="4">
      <w:start w:val="1"/>
      <w:numFmt w:val="lowerLetter"/>
      <w:lvlText w:val="%5."/>
      <w:lvlJc w:val="left"/>
      <w:pPr>
        <w:ind w:left="3308" w:hanging="360"/>
      </w:pPr>
      <w:rPr/>
    </w:lvl>
    <w:lvl w:ilvl="5">
      <w:start w:val="1"/>
      <w:numFmt w:val="lowerRoman"/>
      <w:lvlText w:val="%6."/>
      <w:lvlJc w:val="right"/>
      <w:pPr>
        <w:ind w:left="4028" w:hanging="180"/>
      </w:pPr>
      <w:rPr/>
    </w:lvl>
    <w:lvl w:ilvl="6">
      <w:start w:val="1"/>
      <w:numFmt w:val="decimal"/>
      <w:lvlText w:val="%7."/>
      <w:lvlJc w:val="left"/>
      <w:pPr>
        <w:ind w:left="4748" w:hanging="360"/>
      </w:pPr>
      <w:rPr/>
    </w:lvl>
    <w:lvl w:ilvl="7">
      <w:start w:val="1"/>
      <w:numFmt w:val="lowerLetter"/>
      <w:lvlText w:val="%8."/>
      <w:lvlJc w:val="left"/>
      <w:pPr>
        <w:ind w:left="5468" w:hanging="360"/>
      </w:pPr>
      <w:rPr/>
    </w:lvl>
    <w:lvl w:ilvl="8">
      <w:start w:val="1"/>
      <w:numFmt w:val="lowerRoman"/>
      <w:lvlText w:val="%9."/>
      <w:lvlJc w:val="right"/>
      <w:pPr>
        <w:ind w:left="618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56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33" w:hanging="360"/>
      </w:pPr>
      <w:rPr/>
    </w:lvl>
    <w:lvl w:ilvl="2">
      <w:start w:val="1"/>
      <w:numFmt w:val="lowerRoman"/>
      <w:lvlText w:val="%3."/>
      <w:lvlJc w:val="right"/>
      <w:pPr>
        <w:ind w:left="1753" w:hanging="180"/>
      </w:pPr>
      <w:rPr/>
    </w:lvl>
    <w:lvl w:ilvl="3">
      <w:start w:val="1"/>
      <w:numFmt w:val="decimal"/>
      <w:lvlText w:val="%4."/>
      <w:lvlJc w:val="left"/>
      <w:pPr>
        <w:ind w:left="2473" w:hanging="360"/>
      </w:pPr>
      <w:rPr/>
    </w:lvl>
    <w:lvl w:ilvl="4">
      <w:start w:val="1"/>
      <w:numFmt w:val="lowerLetter"/>
      <w:lvlText w:val="%5."/>
      <w:lvlJc w:val="left"/>
      <w:pPr>
        <w:ind w:left="3193" w:hanging="360"/>
      </w:pPr>
      <w:rPr/>
    </w:lvl>
    <w:lvl w:ilvl="5">
      <w:start w:val="1"/>
      <w:numFmt w:val="lowerRoman"/>
      <w:lvlText w:val="%6."/>
      <w:lvlJc w:val="right"/>
      <w:pPr>
        <w:ind w:left="3913" w:hanging="180"/>
      </w:pPr>
      <w:rPr/>
    </w:lvl>
    <w:lvl w:ilvl="6">
      <w:start w:val="1"/>
      <w:numFmt w:val="decimal"/>
      <w:lvlText w:val="%7."/>
      <w:lvlJc w:val="left"/>
      <w:pPr>
        <w:ind w:left="4633" w:hanging="360"/>
      </w:pPr>
      <w:rPr/>
    </w:lvl>
    <w:lvl w:ilvl="7">
      <w:start w:val="1"/>
      <w:numFmt w:val="lowerLetter"/>
      <w:lvlText w:val="%8."/>
      <w:lvlJc w:val="left"/>
      <w:pPr>
        <w:ind w:left="5353" w:hanging="360"/>
      </w:pPr>
      <w:rPr/>
    </w:lvl>
    <w:lvl w:ilvl="8">
      <w:start w:val="1"/>
      <w:numFmt w:val="lowerRoman"/>
      <w:lvlText w:val="%9."/>
      <w:lvlJc w:val="right"/>
      <w:pPr>
        <w:ind w:left="6073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56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9">
    <w:lvl w:ilvl="0">
      <w:start w:val="1"/>
      <w:numFmt w:val="bullet"/>
      <w:lvlText w:val="–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left="284"/>
      <w:jc w:val="center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a" w:default="1">
    <w:name w:val="Normal"/>
    <w:qFormat w:val="1"/>
    <w:rsid w:val="0001047F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F22BC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 w:val="1"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 w:val="1"/>
      <w:iCs w:val="1"/>
      <w:sz w:val="24"/>
      <w:szCs w:val="24"/>
      <w:lang w:val="en-US"/>
    </w:rPr>
  </w:style>
  <w:style w:type="character" w:styleId="a7" w:customStyle="1">
    <w:name w:val="Заголовок Знак"/>
    <w:basedOn w:val="a0"/>
    <w:link w:val="a6"/>
    <w:rsid w:val="008D2F6E"/>
    <w:rPr>
      <w:rFonts w:ascii="Times New Roman" w:cs="Times New Roman" w:eastAsia="Times New Roman" w:hAnsi="Times New Roman"/>
      <w:i w:val="1"/>
      <w:iCs w:val="1"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 w:val="ru-RU"/>
    </w:rPr>
  </w:style>
  <w:style w:type="character" w:styleId="20" w:customStyle="1">
    <w:name w:val="Основной текст с отступом 2 Знак"/>
    <w:basedOn w:val="a0"/>
    <w:link w:val="2"/>
    <w:rsid w:val="008D2F6E"/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a8">
    <w:name w:val="Emphasis"/>
    <w:basedOn w:val="a0"/>
    <w:uiPriority w:val="20"/>
    <w:qFormat w:val="1"/>
    <w:rsid w:val="00BA0FC3"/>
    <w:rPr>
      <w:i w:val="1"/>
      <w:iCs w:val="1"/>
    </w:rPr>
  </w:style>
  <w:style w:type="paragraph" w:styleId="1" w:customStyle="1">
    <w:name w:val="Абзац списка1"/>
    <w:basedOn w:val="a"/>
    <w:qFormat w:val="1"/>
    <w:rsid w:val="00C11994"/>
    <w:pPr>
      <w:ind w:left="720"/>
      <w:contextualSpacing w:val="1"/>
    </w:pPr>
    <w:rPr>
      <w:lang w:val="en-GB"/>
    </w:rPr>
  </w:style>
  <w:style w:type="character" w:styleId="article-title" w:customStyle="1">
    <w:name w:val="article-title"/>
    <w:basedOn w:val="a0"/>
    <w:rsid w:val="00133344"/>
  </w:style>
  <w:style w:type="character" w:styleId="refsource" w:customStyle="1">
    <w:name w:val="refsource"/>
    <w:basedOn w:val="a0"/>
    <w:rsid w:val="00133344"/>
  </w:style>
  <w:style w:type="paragraph" w:styleId="a9">
    <w:name w:val="Body Text"/>
    <w:basedOn w:val="a"/>
    <w:link w:val="aa"/>
    <w:uiPriority w:val="99"/>
    <w:unhideWhenUsed w:val="1"/>
    <w:rsid w:val="009529CA"/>
    <w:pPr>
      <w:spacing w:after="120"/>
    </w:pPr>
  </w:style>
  <w:style w:type="character" w:styleId="aa" w:customStyle="1">
    <w:name w:val="Основной текст Знак"/>
    <w:basedOn w:val="a0"/>
    <w:link w:val="a9"/>
    <w:uiPriority w:val="99"/>
    <w:rsid w:val="009529CA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3.uji.es/~aferna/H44/Translating-dramatic-texts.htm" TargetMode="External"/><Relationship Id="rId9" Type="http://schemas.openxmlformats.org/officeDocument/2006/relationships/hyperlink" Target="https://doi.org/10.7202/037084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ksana.dzera@lnu.edu.ua" TargetMode="External"/><Relationship Id="rId8" Type="http://schemas.openxmlformats.org/officeDocument/2006/relationships/hyperlink" Target="https://www.routledgehandbooks.com/doi/10.4324/9781315692845-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K3q52G/DV/boUdXXT9+6IARTTA==">AMUW2mXhR8wjixrMJtzZb9hrl+qAg4Ur/i6dw7kr3DN92cFLDpOu/lkHG2cunksc1z+iAn1KWdPtRN/SA4xye1CkJpYyCLgERiZ1k+GvQxsG3a1/d8+LhowfvHdREVTDuGwAZelz5H65hqkBh16Ztsuu/nSRjKqSUi9P4QHK3vZTHedm1NOY+Js=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2022-02-13T18:43:00Z</dcterms:created>
  <dc:creator>LNU</dc:creator>
</cp:coreProperties>
</file>