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Львівський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національний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університет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імені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Івана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Франка</w:t>
      </w:r>
      <w:proofErr w:type="spellEnd"/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Факультет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іноземних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мов</w:t>
      </w:r>
      <w:proofErr w:type="spellEnd"/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Кафедра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англійської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філології</w:t>
      </w:r>
      <w:proofErr w:type="spellEnd"/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      </w:t>
      </w:r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ЗАТВЕРДЖЕНО ВЧЕНОЮ РАДОЮ</w:t>
      </w:r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факультету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іноземних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мов</w:t>
      </w:r>
      <w:proofErr w:type="spellEnd"/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Львівського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національного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університету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імені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Івана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Франка</w:t>
      </w:r>
      <w:proofErr w:type="spellEnd"/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Голова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Вченої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ради</w:t>
      </w:r>
      <w:proofErr w:type="spellEnd"/>
    </w:p>
    <w:p w:rsidR="00F34D49" w:rsidRPr="00F34D49" w:rsidRDefault="00F34D49" w:rsidP="00F34D49">
      <w:pPr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Сулим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В. Т. /_________________/</w:t>
      </w:r>
    </w:p>
    <w:p w:rsidR="00F34D49" w:rsidRPr="00F34D49" w:rsidRDefault="00F34D49" w:rsidP="00F34D49">
      <w:pPr>
        <w:shd w:val="clear" w:color="auto" w:fill="FFFFFF"/>
        <w:jc w:val="right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Протокол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№ ____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від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07 </w:t>
      </w:r>
      <w:proofErr w:type="spellStart"/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червня</w:t>
      </w:r>
      <w:proofErr w:type="spellEnd"/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 </w:t>
      </w: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2023 р.</w:t>
      </w:r>
    </w:p>
    <w:p w:rsidR="00F34D49" w:rsidRPr="00F34D49" w:rsidRDefault="00F34D49" w:rsidP="00F34D49">
      <w:pPr>
        <w:shd w:val="clear" w:color="auto" w:fill="FFFFFF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ПРОГРАМА НАВЧАЛЬНОЇ ДИСЦИПЛІНИ</w:t>
      </w:r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ПП </w:t>
      </w:r>
      <w:r w:rsidRPr="00F34D49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14:ligatures w14:val="none"/>
        </w:rPr>
        <w:t>2.1.1.05</w:t>
      </w: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«ІСТОРІЯ І КУЛЬТУРА КРАЇН АНГЛОМОВНОГО </w:t>
      </w:r>
      <w:proofErr w:type="gram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ПРОСТОРУ.»</w:t>
      </w:r>
      <w:proofErr w:type="gramEnd"/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Другого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магістерського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рівня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вищої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освіти</w:t>
      </w:r>
      <w:proofErr w:type="spellEnd"/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За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спеціальністю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035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Філологія</w:t>
      </w:r>
      <w:proofErr w:type="spellEnd"/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Галузі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знань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03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Гуманітарні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науки</w:t>
      </w:r>
      <w:proofErr w:type="spellEnd"/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Спеціалізація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035.041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Германські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літератури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переклад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включно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),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перша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–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англійська</w:t>
      </w:r>
      <w:proofErr w:type="spellEnd"/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Освітньо-професійна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програма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: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Англійська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друга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іноземні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літератури</w:t>
      </w:r>
      <w:proofErr w:type="spellEnd"/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16"/>
        <w:gridCol w:w="914"/>
        <w:gridCol w:w="621"/>
        <w:gridCol w:w="504"/>
        <w:gridCol w:w="459"/>
        <w:gridCol w:w="456"/>
        <w:gridCol w:w="650"/>
        <w:gridCol w:w="402"/>
        <w:gridCol w:w="462"/>
        <w:gridCol w:w="985"/>
        <w:gridCol w:w="815"/>
        <w:gridCol w:w="810"/>
        <w:gridCol w:w="415"/>
        <w:gridCol w:w="505"/>
      </w:tblGrid>
      <w:tr w:rsidR="00F34D49" w:rsidRPr="00F34D49" w:rsidTr="00F34D49">
        <w:trPr>
          <w:trHeight w:val="52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             </w:t>
            </w:r>
          </w:p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ind w:left="-288" w:hanging="288"/>
              <w:jc w:val="right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Форма</w:t>
            </w:r>
            <w:proofErr w:type="spellEnd"/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навчання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                   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Курс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                   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Семестр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Кредитів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ECTS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ind w:right="-108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Загальн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обсяг</w:t>
            </w:r>
            <w:proofErr w:type="spellEnd"/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   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год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spacing w:after="12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Всього</w:t>
            </w:r>
            <w:proofErr w:type="spellEnd"/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аудит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год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числі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год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Самос-тійна</w:t>
            </w:r>
            <w:proofErr w:type="spellEnd"/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робота</w:t>
            </w:r>
            <w:proofErr w:type="spellEnd"/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год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proofErr w:type="gram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Контрольні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 (</w:t>
            </w:r>
            <w:proofErr w:type="spellStart"/>
            <w:proofErr w:type="gram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модульні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роботи</w:t>
            </w:r>
            <w:proofErr w:type="spellEnd"/>
          </w:p>
          <w:p w:rsidR="00F34D49" w:rsidRPr="00F34D49" w:rsidRDefault="00F34D49" w:rsidP="00F34D4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left="113" w:right="113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Розрахунково-графічні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роботи</w:t>
            </w:r>
            <w:proofErr w:type="spellEnd"/>
          </w:p>
          <w:p w:rsidR="00F34D49" w:rsidRPr="00F34D49" w:rsidRDefault="00F34D49" w:rsidP="00F34D4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12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proofErr w:type="gram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Курсові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 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проекти</w:t>
            </w:r>
            <w:proofErr w:type="spellEnd"/>
            <w:proofErr w:type="gram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роботи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), 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шт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spacing w:after="120"/>
              <w:ind w:right="-108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Залік</w:t>
            </w:r>
            <w:proofErr w:type="spellEnd"/>
          </w:p>
          <w:p w:rsidR="00F34D49" w:rsidRPr="00F34D49" w:rsidRDefault="00F34D49" w:rsidP="00F34D49">
            <w:pPr>
              <w:ind w:right="-108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сем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ind w:left="-108" w:right="-108" w:firstLine="108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Екзамен</w:t>
            </w:r>
            <w:proofErr w:type="spellEnd"/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сем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.)</w:t>
            </w:r>
          </w:p>
        </w:tc>
      </w:tr>
      <w:tr w:rsidR="00F34D49" w:rsidRPr="00F34D49" w:rsidTr="00F34D49">
        <w:trPr>
          <w:trHeight w:val="23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br/>
            </w:r>
          </w:p>
          <w:p w:rsidR="00F34D49" w:rsidRPr="00F34D49" w:rsidRDefault="00F34D49" w:rsidP="00F34D49">
            <w:pPr>
              <w:ind w:right="-108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Лекції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after="240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ind w:right="-85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Лабораторні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spacing w:after="120"/>
              <w:ind w:right="-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Прак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тичні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Денна</w:t>
            </w:r>
            <w:proofErr w:type="spellEnd"/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FF0000"/>
                <w:kern w:val="0"/>
                <w14:ligatures w14:val="none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</w:tbl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Навчальна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програма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складена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основі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освітньої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програми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:</w:t>
      </w: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hyperlink r:id="rId5" w:history="1"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035.041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Германські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мови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та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літератури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(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переклад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включно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),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перша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 – </w:t>
        </w:r>
        <w:proofErr w:type="spellStart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>англійська</w:t>
        </w:r>
        <w:proofErr w:type="spellEnd"/>
        <w:r w:rsidRPr="00F34D49">
          <w:rPr>
            <w:rFonts w:ascii="Times New Roman" w:eastAsia="Times New Roman" w:hAnsi="Times New Roman" w:cs="Times New Roman"/>
            <w:color w:val="000000"/>
            <w:kern w:val="0"/>
            <w:u w:val="single"/>
            <w14:ligatures w14:val="none"/>
          </w:rPr>
          <w:t xml:space="preserve">: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англійська</w:t>
        </w:r>
        <w:proofErr w:type="spellEnd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та</w:t>
        </w:r>
        <w:proofErr w:type="spellEnd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друга</w:t>
        </w:r>
        <w:proofErr w:type="spellEnd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іноземні</w:t>
        </w:r>
        <w:proofErr w:type="spellEnd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 xml:space="preserve">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мови</w:t>
        </w:r>
        <w:proofErr w:type="spellEnd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 xml:space="preserve"> і </w:t>
        </w:r>
        <w:proofErr w:type="spellStart"/>
        <w:r w:rsidRPr="00F34D49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kern w:val="0"/>
            <w:u w:val="single"/>
            <w14:ligatures w14:val="none"/>
          </w:rPr>
          <w:t>літератури</w:t>
        </w:r>
        <w:proofErr w:type="spellEnd"/>
      </w:hyperlink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Навчальна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програма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складена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канд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 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філол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 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наук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доцентом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кафедри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англійської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філології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Федорчук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М.М.</w:t>
      </w:r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Навчальна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програма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затверджена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засіданні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кафедри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англійської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філології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Протокол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№ </w:t>
      </w:r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7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від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01 </w:t>
      </w:r>
      <w:proofErr w:type="spellStart"/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червня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2023 р.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Завідувач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кафедри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 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світової</w:t>
      </w:r>
      <w:proofErr w:type="spellEnd"/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літератури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    ___________________ /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проф.Білинський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М.Е./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                                                                                            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 xml:space="preserve">01 </w:t>
      </w:r>
      <w:proofErr w:type="spellStart"/>
      <w:r w:rsidRPr="00F34D49">
        <w:rPr>
          <w:rFonts w:ascii="Times New Roman" w:eastAsia="Times New Roman" w:hAnsi="Times New Roman" w:cs="Times New Roman"/>
          <w:color w:val="FF0000"/>
          <w:kern w:val="0"/>
          <w14:ligatures w14:val="none"/>
        </w:rPr>
        <w:t>червн</w:t>
      </w: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  <w:t xml:space="preserve">3 р. </w:t>
      </w: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rFonts w:ascii="Times New Roman" w:eastAsia="Times New Roman" w:hAnsi="Times New Roman" w:cs="Times New Roman"/>
          <w:color w:val="000000"/>
          <w:kern w:val="0"/>
          <w:lang w:val="uk-UA"/>
          <w14:ligatures w14:val="none"/>
        </w:rPr>
      </w:pPr>
    </w:p>
    <w:p w:rsidR="00F34D49" w:rsidRDefault="00F34D49" w:rsidP="00F34D49">
      <w:pPr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Федорчук</w:t>
      </w:r>
      <w:proofErr w:type="spellEnd"/>
      <w:r>
        <w:rPr>
          <w:color w:val="000000"/>
        </w:rPr>
        <w:t>, 2023</w:t>
      </w:r>
    </w:p>
    <w:p w:rsidR="00F34D49" w:rsidRDefault="00F34D49" w:rsidP="00F34D49">
      <w:pPr>
        <w:rPr>
          <w:color w:val="000000"/>
        </w:rPr>
      </w:pPr>
    </w:p>
    <w:p w:rsidR="00F34D49" w:rsidRPr="00F34D49" w:rsidRDefault="00F34D49" w:rsidP="00F34D49">
      <w:pPr>
        <w:numPr>
          <w:ilvl w:val="0"/>
          <w:numId w:val="2"/>
        </w:numPr>
        <w:ind w:left="1199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РІВЕНЬ СФОРМОВАНОСТІ ВМІНЬ ТА ЗНАНЬ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7250"/>
      </w:tblGrid>
      <w:tr w:rsidR="00F34D49" w:rsidRPr="00F34D49" w:rsidTr="00F34D4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before="120" w:after="120"/>
              <w:ind w:left="839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Програмні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компетентності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 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Інтегральна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компетентність</w:t>
            </w:r>
            <w:proofErr w:type="spellEnd"/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розв’язувати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складні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спеціалізовані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завдання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проблеми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галузі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лінгвістики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перекладу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або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що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передбачає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проведення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досліджень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інновацій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характеризується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невизначеністю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вимог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.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Загальні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компетентності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(ЗК)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спілкуватися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державною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письмовій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формах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2)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спілкуватися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письмовій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формах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3)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застосовувати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набуті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практиці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4)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ідентифікувати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формулювати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розв’язувати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проблеми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5)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пошуку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опрацювання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орієнтованої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інформації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з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джерел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6)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використовувати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інформаційні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комунікаційні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технології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зокрема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7)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конструктивної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критики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самокритики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прагнення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самовдосконалення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особистісному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аспектах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8)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працювати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команді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автономно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призначення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зміст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гуманітарних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природу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людського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суспільства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його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функціонуванні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10)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усвідомлювати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значення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історії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людства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поважати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різноманітність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світу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11)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усвідомлювати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значущість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загальнолюдських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цінностей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етичних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норм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12)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із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відповідальністю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громадянською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свідомістю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13)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принципи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буття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людини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природи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суспільства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14)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проводити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дослідження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з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елементами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пошуку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дотримуватися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вимог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академічної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доброчесності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15)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працювати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міжнародному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контексті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Фахові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компетентності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спеціальності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(ФК)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ефективно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використовувати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державну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як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засіб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2)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визначати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одиниці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філологічного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зв’язки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між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що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впливають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3)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описувати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класифікувати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явища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об’єкти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синхронії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діахронії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4)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використовувати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теоретичних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гуманітарних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соціально-поведінкових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5)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вільно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користуватись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базовою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філологічною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термінологією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6)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еволюційний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шлях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виявляти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своєрідність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національних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зумовлену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особливостями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соціально-політичної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історії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країни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її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традицій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провідні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тенденції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7)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інтерпретувати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критично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оцінювати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тексти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жанрів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типів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8)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використовувати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застосувати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технології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підходи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принципи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10)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планувати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організовувати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здійснювати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презентувати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прикладне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філологічне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дослідження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</w:tc>
      </w:tr>
      <w:tr w:rsidR="00F34D49" w:rsidRPr="00F34D49" w:rsidTr="00F34D4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Програмні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результати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14:ligatures w14:val="none"/>
              </w:rPr>
              <w:t>навчання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Програмні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результати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(ПРН),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визначені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стандартом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вищої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освіти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спеціальності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: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Оцінювати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власну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навчальну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науково-професійну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діяльність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прагнути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саморозвитку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самовдосконалення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2)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Демонструвати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належний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рівень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володіння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державною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побутовій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суспільній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навчальній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сферах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дотримуватися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вимог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писемного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спілкування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3)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Оцінювати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критично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особистісно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значущі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проблеми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пропонувати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шляхи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їх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вирішення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аргументуючи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власну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точку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зору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4)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Знаходити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оптимальні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шляхи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ефективної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взаємодії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колективі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з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представниками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інших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груп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рівня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5)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Здатність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усвідомлювати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значення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історії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людства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усвідомлювати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значущість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загальнолюдських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цінностей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етичних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норм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поважати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різноманітність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мультикультурність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світу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6)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принципи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буття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людини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природи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суспільства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виявляти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свідомість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громадянську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відповідальність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7)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Чітко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виразно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висловлювати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думку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володіти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логічними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експресивними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емоційними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засобами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вираження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комунікативного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наміру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використовувати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засоби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для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побудови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аргументації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8)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Продукувати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державною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тексти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типів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дотримуючись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параметрів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комунікативної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відповідності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цілісності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зв’язності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лексичної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адекватності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граматичної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коректності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9)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описувати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класифікувати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явища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об’єкти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формулювати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узагальнення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емпіричних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даних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10)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порівнювати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класифікувати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оцінювати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напрямки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школи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лінгвістиці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перекладознавстві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11)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Характеризувати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теоретичні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практичні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аспекти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лінгвістики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перекладознавства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вільно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користуватись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базовою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філологічною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термінологією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12)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Володіти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методами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структурування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матеріалу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13)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специфіку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як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одного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із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видів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мистецтва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формулювати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базові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теоретичні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положення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визначати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поняття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характеризувати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основні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закономірності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від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античності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сьогодення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виявляти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своєрідність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національних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зумовлену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особливостями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соціально-політичної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історії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країни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її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традицій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провідні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тенденції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літератури</w:t>
            </w:r>
            <w:proofErr w:type="spellEnd"/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14)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тексти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жанрів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типів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розуміти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експліцитну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імпліцитну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інформацію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15)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Планувати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організовувати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здійснювати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презентувати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прикладне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дослідження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з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елементами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наукового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пошуку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в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галузі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літературознавства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методики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16)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Виконувати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типові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професійні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завдання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вчителя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зарубіжної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враховуючи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вікові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індивідуальні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особливості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учнів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: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визначати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аналізувати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цілі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зміст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принципи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методи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прийоми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форми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й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засоби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оцінювати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результати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навчальних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досягнень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застосовувати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сучасні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технології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іноземних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і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зарубіжної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літератури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навчально-виховному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процесі</w:t>
            </w:r>
            <w:proofErr w:type="spellEnd"/>
          </w:p>
        </w:tc>
      </w:tr>
    </w:tbl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7512"/>
      </w:tblGrid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Шифр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умінь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змістових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модулів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Зміст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умінь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що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забезпечується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взаємозв'язок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статус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історія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варіанти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процесів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статус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діаспора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поняття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“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фронтиру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”;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фронтиру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граматики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фронтиру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лексики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інновації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граматиці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інновації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лексиці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адаптація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словотвір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культурний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компонент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лексиці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етимологія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індіанських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племен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індіанських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племен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африканських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племен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поняття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Gullah;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креольська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Європейських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Американський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варіант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германських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німецька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голландська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);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романських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іспанська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французька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);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поняття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“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культурного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котла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”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технічний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прогрес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інновації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лексиці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цифровізація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;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словотвір</w:t>
            </w:r>
            <w:proofErr w:type="spellEnd"/>
          </w:p>
        </w:tc>
      </w:tr>
    </w:tbl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F34D49" w:rsidRPr="00F34D49" w:rsidRDefault="00F34D49" w:rsidP="00F34D49">
      <w:pPr>
        <w:numPr>
          <w:ilvl w:val="0"/>
          <w:numId w:val="3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ІНФОРМАЦІЙНИЙ ОБСЯГ ДИСЦИПЛІНИ</w:t>
      </w:r>
    </w:p>
    <w:p w:rsidR="00F34D49" w:rsidRPr="00F34D49" w:rsidRDefault="00F34D49" w:rsidP="00F34D49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ЛЕКЦІЙНИЙ КУРС: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5522"/>
        <w:gridCol w:w="1970"/>
      </w:tblGrid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Шифр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змістового</w:t>
            </w:r>
            <w:proofErr w:type="spellEnd"/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Назва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змістового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Кількість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аудиторних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годин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аспекти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культурологічні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аспекти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вокабуляру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граматики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варіантів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зламі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тисячоліть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2</w:t>
            </w:r>
          </w:p>
        </w:tc>
      </w:tr>
    </w:tbl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F34D49" w:rsidRPr="00F34D49" w:rsidRDefault="00F34D49" w:rsidP="00F34D49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ПРАКТИЧНІ ЗАНЯТТЯ: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9"/>
        <w:gridCol w:w="6112"/>
        <w:gridCol w:w="1639"/>
      </w:tblGrid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Шифр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змістового</w:t>
            </w:r>
            <w:proofErr w:type="spellEnd"/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Назва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змістового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модуля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Кількість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аудиторних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14:ligatures w14:val="none"/>
              </w:rPr>
              <w:t>годин</w:t>
            </w:r>
            <w:proofErr w:type="spellEnd"/>
          </w:p>
        </w:tc>
      </w:tr>
      <w:tr w:rsidR="00F34D49" w:rsidRPr="00F34D49" w:rsidTr="00F34D49">
        <w:trPr>
          <w:trHeight w:val="2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культурологічні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аспекти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розвитку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загалом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її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вокабуляру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граматики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зокрема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Лінгвістичні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зміни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зумовлені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історичним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культурними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процесами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Впливи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різних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варіантів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корінних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народів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африканських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народів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культури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Європейських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народів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6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Змістовий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ІV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Розвиток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англійської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зламі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тисячоліть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.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тенденції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нові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сфери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застосування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мови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пов'язані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з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науково-технічним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прогресом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4</w:t>
            </w:r>
          </w:p>
        </w:tc>
      </w:tr>
    </w:tbl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ind w:left="357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2.5.  САМОСТІЙНА РОБОТА СТУДЕНТА: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Самостійне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опрацювання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окремих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виконання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індивідуального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науково-дослідного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завдання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написання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реферату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есе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),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підготовка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практичних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занять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підготовка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підсумкової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контрольної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роботи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:rsid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F34D49" w:rsidRPr="00F34D49" w:rsidRDefault="00F34D49" w:rsidP="00F34D49">
      <w:pPr>
        <w:numPr>
          <w:ilvl w:val="0"/>
          <w:numId w:val="6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ПЕРЕЛІК РЕКОМЕНДОВАНИХ ПІДРУЧНИКІВ, МЕТОДИЧНИХ ТА ДИДАКТИЧНИХ МАТЕРІАЛІВ</w:t>
      </w:r>
    </w:p>
    <w:p w:rsidR="00F34D49" w:rsidRPr="00F34D49" w:rsidRDefault="00F34D49" w:rsidP="00F34D49">
      <w:pPr>
        <w:shd w:val="clear" w:color="auto" w:fill="FFFFFF"/>
        <w:ind w:left="1080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Базова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література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 </w:t>
      </w:r>
    </w:p>
    <w:p w:rsidR="00F34D49" w:rsidRPr="00F34D49" w:rsidRDefault="00F34D49" w:rsidP="00F34D49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Bailey R. W. &amp;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Görlach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M. 1984.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English as a World Language.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Cambridge: Cambridge University Press.</w:t>
      </w:r>
    </w:p>
    <w:p w:rsidR="00F34D49" w:rsidRPr="00F34D49" w:rsidRDefault="00F34D49" w:rsidP="00F34D49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Blum, S.D. 2008.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Making Sense in Language: Readings in Culture and Communication.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Oxford University Press.</w:t>
      </w:r>
    </w:p>
    <w:p w:rsidR="00F34D49" w:rsidRPr="00F34D49" w:rsidRDefault="00F34D49" w:rsidP="00F34D49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Bonvillain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N. 2010.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Language, Culture and Communication.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Prentice Hall.</w:t>
      </w:r>
    </w:p>
    <w:p w:rsidR="00F34D49" w:rsidRPr="00F34D49" w:rsidRDefault="00F34D49" w:rsidP="00F34D49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Bryant M.  1978.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Modern English and Its Heritage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/ M. Bryant. – New York: The MacMillan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Company,–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200 p.</w:t>
      </w:r>
    </w:p>
    <w:p w:rsidR="00F34D49" w:rsidRPr="00F34D49" w:rsidRDefault="00F34D49" w:rsidP="00F34D49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Crystal, D. 1997.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Is there a World English language?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 D. Crystal, -32р.</w:t>
      </w:r>
    </w:p>
    <w:p w:rsidR="00F34D49" w:rsidRPr="00F34D49" w:rsidRDefault="00F34D49" w:rsidP="00F34D49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Crystal, D. 1995.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The Encyclopedia of English Language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 D. Crystal. –Cambridge: Cambridge University Press, – 489 p.</w:t>
      </w:r>
    </w:p>
    <w:p w:rsidR="00F34D49" w:rsidRPr="00F34D49" w:rsidRDefault="00F34D49" w:rsidP="00F34D49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Dictionary of Americanisms: A Glossary of Words and Phrases Usually Regarded As Peculiar to the United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States .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New York: Bartlett and Welford. &lt;http://www.bartleby.com&gt; </w:t>
      </w:r>
    </w:p>
    <w:p w:rsidR="00F34D49" w:rsidRPr="00F34D49" w:rsidRDefault="00F34D49" w:rsidP="00F34D49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Dillard, J.L. 1992.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A History of American English.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London: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Longman ,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- 235p.</w:t>
      </w:r>
    </w:p>
    <w:p w:rsidR="00F34D49" w:rsidRPr="00F34D49" w:rsidRDefault="00F34D49" w:rsidP="00F34D49">
      <w:pPr>
        <w:numPr>
          <w:ilvl w:val="0"/>
          <w:numId w:val="7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Fedorchuk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M.M. 2014.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American English: through history to present day.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/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M.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M.Fedorchuk</w:t>
      </w:r>
      <w:proofErr w:type="spellEnd"/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. - Nova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Knyha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Publishers, - 173 p.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Додаткова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література</w:t>
      </w:r>
      <w:proofErr w:type="spellEnd"/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: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Ferguson, Charles A. &amp; Heath, Shirley Brice (Eds.). 1981.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Language in the USA.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Cambridge: Cambridge University Press.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.-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254p.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Finegan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Edward. 2004.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American English and its distinctiveness.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In E.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Finegan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&amp; J.R. Rickford (Eds.), Language in the USA: Themes for the twenty-first century (pp. 18-38). Cambridge: Cambridge University Press. - 365p.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Elmer, D. 2002.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Cross-cultural Connections: Stepping out and Fitting in Around the World.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IVP Academic.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Katamba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F.X. 2005.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English words (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2nd ed.) / F.X.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Katamba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-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London :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Routledge. - 282p. 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Keats J. 2011.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Virtual Words: Language on the Edge of Science and Technology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/ Jonathon Keats. – </w:t>
      </w:r>
      <w:proofErr w:type="gram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Oxford :</w:t>
      </w:r>
      <w:proofErr w:type="gram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Oxford University Press, – 177 p.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Kortmann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Bernd; Schneider, Edgar W.; Burridge, Kate;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Mesthrie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Rajend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 &amp; Upton, Clive (Eds.). (2004).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A handbook of varieties of English: Morphology and syntax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(Vol. 2). Berlin: Mouton de Gruyter. &lt;</w:t>
      </w:r>
      <w:hyperlink r:id="rId6" w:history="1">
        <w:r w:rsidRPr="00F34D49">
          <w:rPr>
            <w:rFonts w:ascii="Times New Roman" w:eastAsia="Times New Roman" w:hAnsi="Times New Roman" w:cs="Times New Roman"/>
            <w:color w:val="1155CC"/>
            <w:kern w:val="0"/>
            <w:sz w:val="28"/>
            <w:szCs w:val="28"/>
            <w:u w:val="single"/>
            <w14:ligatures w14:val="none"/>
          </w:rPr>
          <w:t>http://www.bartleby.com</w:t>
        </w:r>
      </w:hyperlink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&gt;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Martin, J., Nakayama, T. 2009.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Intercultural Communication in Contexts.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McGraw-Hill Humanities/Social Sciences/Languages.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Salzmann, Z.,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Stalaw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J. 2004.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Language, Culture and Society: An Introduction to Linguistic Anthropology.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Westview Press.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Schneider, Edgar (Ed.). 1996.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Focus on the USA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 Philadelphia: John Benjamins. &lt;http://www.bartleby.com&gt; 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Silverstein, M. 2004.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Cultural Concepts and the Language-Culture Nexus.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Current Anthropology. 45(5): 621-652.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 American Heritage Dictionary of the English Language. 1992. Boston, New York: Houghton Mifflin Company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Valdes, J.M. (ed) 1996.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Culture Bound.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Cambridge Language Teaching Library, Cambridge University Press.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</w:p>
    <w:p w:rsidR="00F34D49" w:rsidRPr="00F34D49" w:rsidRDefault="00F34D49" w:rsidP="00F34D49">
      <w:pPr>
        <w:numPr>
          <w:ilvl w:val="0"/>
          <w:numId w:val="8"/>
        </w:numPr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Widdowson, H.G. 1991.  “Aspects of the Relationship between Culture and Language”. </w:t>
      </w:r>
      <w:r w:rsidRPr="00F34D4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Triangle 7. 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Paris: Didier-Erudition. </w:t>
      </w:r>
    </w:p>
    <w:p w:rsidR="00F34D49" w:rsidRPr="00F34D49" w:rsidRDefault="00F34D49" w:rsidP="00F34D49">
      <w:pPr>
        <w:numPr>
          <w:ilvl w:val="0"/>
          <w:numId w:val="8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http://www.encyclopedia.com/topic/british_english.aspx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F34D49" w:rsidRPr="00F34D49" w:rsidRDefault="00F34D49" w:rsidP="00F34D49">
      <w:pPr>
        <w:numPr>
          <w:ilvl w:val="0"/>
          <w:numId w:val="9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КРИТЕРІЇ УСПІШНОСТІ</w:t>
      </w:r>
    </w:p>
    <w:p w:rsidR="00F34D49" w:rsidRPr="00F34D49" w:rsidRDefault="00F34D49" w:rsidP="00F34D49">
      <w:pPr>
        <w:shd w:val="clear" w:color="auto" w:fill="FFFFFF"/>
        <w:ind w:left="72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знання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новітніх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теорій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взаємозв'язку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історії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 </w:t>
      </w: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вміння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проводити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лексико-семантичний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аналіз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предмет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наявності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історичних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компонентів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 </w:t>
      </w: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розуміння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різноманітності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способів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методів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допомогою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яких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можна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виявити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взаємовпливи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культури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вміння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розрізняти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варіанти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англійської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розуміння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як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чому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різні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історичні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процеси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впливали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впливають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розвиток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англійської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мови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:rsidR="00F34D49" w:rsidRPr="00F34D49" w:rsidRDefault="00F34D49" w:rsidP="00F34D49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знання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історико-лінгвістичних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досліджень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даної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тематики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 </w:t>
      </w:r>
    </w:p>
    <w:p w:rsidR="00F34D49" w:rsidRPr="00F34D49" w:rsidRDefault="00F34D49" w:rsidP="00F34D49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numPr>
          <w:ilvl w:val="0"/>
          <w:numId w:val="11"/>
        </w:num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ЗАСОБИ ДІАГНОСТИКИ УСПІШНОСТІ НАВЧАННЯ</w:t>
      </w:r>
    </w:p>
    <w:p w:rsidR="00F34D49" w:rsidRPr="00F34D49" w:rsidRDefault="00F34D49" w:rsidP="00F34D49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hd w:val="clear" w:color="auto" w:fill="FFFFFF"/>
        <w:ind w:left="357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Підсумкова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контрольна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робота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практичні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заняття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письмове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опитування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індивідуальне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завдання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реферат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есе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).</w:t>
      </w:r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ind w:firstLine="708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6. МЕТОДИ ОРГАНІЗАЦІЇ НАВЧАЛЬНОЇ ДІЯЛЬНОСТІ СТУДЕНТІВ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:rsidR="00F34D49" w:rsidRPr="00F34D49" w:rsidRDefault="00F34D49" w:rsidP="00F34D49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аудиторні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заняття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 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лекційні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заняття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;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практичні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заняття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із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використанням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мультимедійних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презентацій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платформ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електронного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навчання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),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проблемні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тематичні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)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дискусії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«case-study»,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консультації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для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проведення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семестрового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підсумкового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контролю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індивідуальні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завдання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:rsidR="00F34D49" w:rsidRPr="00F34D49" w:rsidRDefault="00F34D49" w:rsidP="00F34D49">
      <w:pPr>
        <w:numPr>
          <w:ilvl w:val="0"/>
          <w:numId w:val="1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самостійна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робота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: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письмове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індивідуальне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завдання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(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реферат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есе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),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підготовка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конспектів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прочитаних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художніх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творів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самостійне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опрацювання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окремих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тем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,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підготовка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до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практичних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занять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і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підсумкової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контрольної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роботи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:rsidR="00F34D49" w:rsidRPr="00F34D49" w:rsidRDefault="00F34D49" w:rsidP="00F34D49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ind w:firstLine="708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7. РОЗПОДІЛ БАЛІВ, ЩО ПРИСВОЮЮТЬСЯ СТУДЕНТАМ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spacing w:after="240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Оцінювання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знань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студента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здійснюється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за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100-бальною 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шкалою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3359"/>
      </w:tblGrid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Види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jc w:val="center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Кількість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балів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максимальна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14:ligatures w14:val="none"/>
              </w:rPr>
              <w:t>)</w:t>
            </w:r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Письмова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робота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тест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20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  <w:tr w:rsidR="00F34D49" w:rsidRPr="00F34D49" w:rsidTr="00F34D49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Практичні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заняття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презентації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участь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у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дискусіях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20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Індивідуальне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завдання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реферат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,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есе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10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Відвідування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лекцій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10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Підсумкова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контрольна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робота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модуль</w:t>
            </w:r>
            <w:proofErr w:type="spellEnd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 xml:space="preserve">40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  <w:tr w:rsidR="00F34D49" w:rsidRPr="00F34D49" w:rsidTr="00F34D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Разом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4D49" w:rsidRPr="00F34D49" w:rsidRDefault="00F34D49" w:rsidP="00F34D49">
            <w:pPr>
              <w:ind w:firstLine="624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100 </w:t>
            </w:r>
            <w:proofErr w:type="spellStart"/>
            <w:r w:rsidRPr="00F34D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балів</w:t>
            </w:r>
            <w:proofErr w:type="spellEnd"/>
          </w:p>
        </w:tc>
      </w:tr>
    </w:tbl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          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proofErr w:type="spellStart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Автор</w:t>
      </w:r>
      <w:proofErr w:type="spellEnd"/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     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                                  ______________/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/>
          <w14:ligatures w14:val="none"/>
        </w:rPr>
        <w:t>Федорчук М.М.</w:t>
      </w:r>
      <w:r w:rsidRPr="00F34D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/</w:t>
      </w: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:rsidR="00F34D49" w:rsidRPr="00F34D49" w:rsidRDefault="00F34D49" w:rsidP="00F34D49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F34D49">
        <w:rPr>
          <w:color w:val="000000"/>
        </w:rPr>
        <w:t xml:space="preserve"> </w:t>
      </w:r>
    </w:p>
    <w:p w:rsidR="00054E25" w:rsidRDefault="00054E25"/>
    <w:sectPr w:rsidR="00054E25" w:rsidSect="004A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E51"/>
    <w:multiLevelType w:val="multilevel"/>
    <w:tmpl w:val="99F28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F01B8"/>
    <w:multiLevelType w:val="multilevel"/>
    <w:tmpl w:val="1FFC4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042D"/>
    <w:multiLevelType w:val="multilevel"/>
    <w:tmpl w:val="D2C2E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32524"/>
    <w:multiLevelType w:val="multilevel"/>
    <w:tmpl w:val="1FD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B70C7"/>
    <w:multiLevelType w:val="multilevel"/>
    <w:tmpl w:val="AF6C79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245FC3"/>
    <w:multiLevelType w:val="multilevel"/>
    <w:tmpl w:val="17487E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A3C3B"/>
    <w:multiLevelType w:val="multilevel"/>
    <w:tmpl w:val="D288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2339B"/>
    <w:multiLevelType w:val="multilevel"/>
    <w:tmpl w:val="DDF8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656CC8"/>
    <w:multiLevelType w:val="multilevel"/>
    <w:tmpl w:val="18E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CF2D7E"/>
    <w:multiLevelType w:val="multilevel"/>
    <w:tmpl w:val="F63E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1E15E9"/>
    <w:multiLevelType w:val="multilevel"/>
    <w:tmpl w:val="99BC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C16FD"/>
    <w:multiLevelType w:val="multilevel"/>
    <w:tmpl w:val="3D0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414908">
    <w:abstractNumId w:val="6"/>
  </w:num>
  <w:num w:numId="2" w16cid:durableId="137571344">
    <w:abstractNumId w:val="10"/>
  </w:num>
  <w:num w:numId="3" w16cid:durableId="810248549">
    <w:abstractNumId w:val="2"/>
    <w:lvlOverride w:ilvl="0">
      <w:lvl w:ilvl="0">
        <w:numFmt w:val="decimal"/>
        <w:lvlText w:val="%1."/>
        <w:lvlJc w:val="left"/>
      </w:lvl>
    </w:lvlOverride>
  </w:num>
  <w:num w:numId="4" w16cid:durableId="455297260">
    <w:abstractNumId w:val="3"/>
  </w:num>
  <w:num w:numId="5" w16cid:durableId="969087618">
    <w:abstractNumId w:val="4"/>
    <w:lvlOverride w:ilvl="0">
      <w:lvl w:ilvl="0">
        <w:numFmt w:val="decimal"/>
        <w:lvlText w:val="%1."/>
        <w:lvlJc w:val="left"/>
      </w:lvl>
    </w:lvlOverride>
  </w:num>
  <w:num w:numId="6" w16cid:durableId="1324699443">
    <w:abstractNumId w:val="1"/>
    <w:lvlOverride w:ilvl="0">
      <w:lvl w:ilvl="0">
        <w:numFmt w:val="decimal"/>
        <w:lvlText w:val="%1."/>
        <w:lvlJc w:val="left"/>
      </w:lvl>
    </w:lvlOverride>
  </w:num>
  <w:num w:numId="7" w16cid:durableId="350650250">
    <w:abstractNumId w:val="8"/>
  </w:num>
  <w:num w:numId="8" w16cid:durableId="1463765187">
    <w:abstractNumId w:val="7"/>
  </w:num>
  <w:num w:numId="9" w16cid:durableId="1005015839">
    <w:abstractNumId w:val="5"/>
    <w:lvlOverride w:ilvl="0">
      <w:lvl w:ilvl="0">
        <w:numFmt w:val="decimal"/>
        <w:lvlText w:val="%1."/>
        <w:lvlJc w:val="left"/>
      </w:lvl>
    </w:lvlOverride>
  </w:num>
  <w:num w:numId="10" w16cid:durableId="1886676063">
    <w:abstractNumId w:val="11"/>
  </w:num>
  <w:num w:numId="11" w16cid:durableId="546066974">
    <w:abstractNumId w:val="0"/>
    <w:lvlOverride w:ilvl="0">
      <w:lvl w:ilvl="0">
        <w:numFmt w:val="decimal"/>
        <w:lvlText w:val="%1."/>
        <w:lvlJc w:val="left"/>
      </w:lvl>
    </w:lvlOverride>
  </w:num>
  <w:num w:numId="12" w16cid:durableId="1509952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49"/>
    <w:rsid w:val="00054E25"/>
    <w:rsid w:val="004A5F13"/>
    <w:rsid w:val="00763DF5"/>
    <w:rsid w:val="00F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BE8898"/>
  <w15:chartTrackingRefBased/>
  <w15:docId w15:val="{7029E394-E9AF-474D-B114-C5D4FF17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D4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F34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670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tleby.com" TargetMode="External"/><Relationship Id="rId5" Type="http://schemas.openxmlformats.org/officeDocument/2006/relationships/hyperlink" Target="http://lingua.lnu.edu.ua/academics/bachelor/anhlijska-filoloh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2195</Words>
  <Characters>12513</Characters>
  <Application>Microsoft Office Word</Application>
  <DocSecurity>0</DocSecurity>
  <Lines>104</Lines>
  <Paragraphs>29</Paragraphs>
  <ScaleCrop>false</ScaleCrop>
  <Company/>
  <LinksUpToDate>false</LinksUpToDate>
  <CharactersWithSpaces>14679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2023-09-13T07:59:00Z</dcterms:created>
  <dcterms:modified xsi:type="dcterms:W3CDTF">2023-09-13T08:08:00Z</dcterms:modified>
</cp:coreProperties>
</file>