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МІНІСТЕРСТВО ОСВІТИ І НАУКИ УКРАЇНИ</w:t>
      </w: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Львівський національний університет імені Івана Франка</w:t>
      </w: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Факультет іноземних мов </w:t>
      </w: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Кафедра англійської філології</w:t>
      </w: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:rsidR="00BE0966" w:rsidRDefault="002859CB">
      <w:pPr>
        <w:pStyle w:val="normal"/>
        <w:spacing w:line="276" w:lineRule="auto"/>
        <w:ind w:left="524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Затверджено</w:t>
      </w:r>
    </w:p>
    <w:p w:rsidR="00BE0966" w:rsidRDefault="002859CB">
      <w:pPr>
        <w:pStyle w:val="normal"/>
        <w:spacing w:line="276" w:lineRule="auto"/>
        <w:ind w:left="524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засіданні кафедри англійської філології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факультету іноземних мов</w:t>
      </w:r>
    </w:p>
    <w:p w:rsidR="00BE0966" w:rsidRDefault="002859CB">
      <w:pPr>
        <w:pStyle w:val="normal"/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Львівського національного університету імені Івана Франка</w:t>
      </w:r>
    </w:p>
    <w:p w:rsidR="00BE0966" w:rsidRDefault="002859CB">
      <w:pPr>
        <w:pStyle w:val="normal"/>
        <w:spacing w:line="276" w:lineRule="auto"/>
        <w:ind w:left="524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174625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>(протокол № 6 від 03.02.2021 р.)</w:t>
      </w:r>
    </w:p>
    <w:p w:rsidR="00BE0966" w:rsidRDefault="00BE0966">
      <w:pPr>
        <w:pStyle w:val="normal"/>
        <w:spacing w:line="276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</w:p>
    <w:p w:rsidR="00BE0966" w:rsidRDefault="002859CB">
      <w:pPr>
        <w:pStyle w:val="normal"/>
        <w:spacing w:line="276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</w:t>
      </w:r>
    </w:p>
    <w:p w:rsidR="00BE0966" w:rsidRDefault="002859CB">
      <w:pPr>
        <w:pStyle w:val="normal"/>
        <w:spacing w:line="276" w:lineRule="auto"/>
        <w:ind w:left="524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Завідувач кафедри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проф.Білинський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М.Е.</w:t>
      </w: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2859C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E0966" w:rsidRDefault="002859CB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СПЕЦІАЛЬНІ ДИСКУРСИ: СПОРТИВНІ ПОДІЇ </w:t>
      </w:r>
    </w:p>
    <w:p w:rsidR="00BE0966" w:rsidRDefault="002859CB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ПУБЛІЦИСТИЦІ ТА МУЛЬТИМЕДІЯ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BE0966" w:rsidRDefault="002859CB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що викладається в межах ОПП “АНГЛІЙСЬКА МОВА ТА ЛІТЕРАТУРА” першого (бакалаврського) рівня вищої освіти для здобувачів зі спеціальності 035 Філологія</w:t>
      </w: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BE0966" w:rsidRDefault="00BE0966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BE0966" w:rsidRDefault="00BE0966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Львів 2021 р.</w:t>
      </w:r>
    </w:p>
    <w:p w:rsidR="00BE0966" w:rsidRDefault="00BE0966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BE0966" w:rsidRDefault="00BE0966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курсу </w:t>
      </w:r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“Спеціальні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дискурси: спортивні події у публіцистиці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мультимедія”</w:t>
      </w:r>
      <w:proofErr w:type="spellEnd"/>
    </w:p>
    <w:p w:rsidR="00BE0966" w:rsidRDefault="002859CB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2020-2021 навчального року</w:t>
      </w:r>
    </w:p>
    <w:p w:rsidR="00BE0966" w:rsidRDefault="00BE0966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E0966" w:rsidRDefault="00BE0966">
      <w:pPr>
        <w:pStyle w:val="normal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e"/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744"/>
        <w:gridCol w:w="7634"/>
      </w:tblGrid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Спеціальні дискурси: спортивні події у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мультимедія</w:t>
            </w:r>
            <w:proofErr w:type="spellEnd"/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вул. Університетська 1, факультет іноземних мов,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407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 іноземних мов, кафедра англійської філології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Галузь знань: 03 Гуманітарні науки</w:t>
            </w:r>
          </w:p>
          <w:p w:rsidR="00BE0966" w:rsidRDefault="002859CB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Спеціальність: 035 Філологія</w:t>
            </w:r>
          </w:p>
          <w:p w:rsidR="00BE0966" w:rsidRDefault="002859CB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Спеціалізація: 035.04 германські мови та літератури (переклад включно) </w:t>
            </w:r>
          </w:p>
          <w:p w:rsidR="00BE0966" w:rsidRDefault="00BE09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Ірина Петрівна,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канд.філол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наук, доцент, доцент</w:t>
            </w: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irynadilay@gmail.com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Консультації в день проведення лекцій занять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або подібні ресурси. Для погодження часу он-лайн консультацій слід писати на електронну пошту викл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адача або дзвонити.</w:t>
            </w: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E0966">
        <w:trPr>
          <w:trHeight w:val="199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Спеціальні дискурси: спортивні події у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мультимедія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є вибірковою дисципліною зі спеціальності 035 Філологія, спеціалізації: 035.04 германські мови та літератури (переклад включно) для освітньої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“Англійська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мова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література”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яка викладається у 8 семестрі в обсязі 3 кредити (за Європейською Кред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итно-Трансферною Системою ECTS).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необхідні знання, обов’язкові для того, щоб вільно володіти сучасним спортивним термінологічним апаратом, знати структуру та властивості спеціально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спортивного дискурсу, специфіку спортивного усного мовлення, його представлення у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мультимедіа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Тому у курсі представлено як огляд концепцій спеціальних дискурсів і мовленнєвих жанрів, так і процесів та інструментів, які потрібні для успі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шного засвоєння відповідної лексики, особливостей спортивного дискурсу, культурних чинників спортивної комунікації.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Метою вивчення вибіркової дисципліни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Спеціальні дискурси: спортивні події у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мультимедія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є ознайомлення студентів із особливостями англомовного спортивного дискурсу та його представленням в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мультимедіа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оволодіння сучасним термінологічним апаратом, набуття відповідних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комунікативних навичок на рівні С1 і вище.</w:t>
            </w: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Література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Основна література: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Doodley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Unit7.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145-164.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2.Evans V.,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Doodley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Workook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Unit7.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1998.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-117 p.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Додаткова література: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Карасик, В.И. О типах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В.И. Карасик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институциональный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дискурс: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Волгоград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2000 (а).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2.Макаров, М.Л.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М.Л. Макаров - М.:ИТДГК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Гнозис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»,2003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Старко В.Ф. Концепт ГРА в контексті слов’янських і германських культур (на матеріалі української, російської, англійської та німецької мов). - Луцьк, 2004.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Кубрякова, Е.С.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дискурсивного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всовременной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Дискурс, речь, речеваядеятельность: функциональные и структурные аспекты: Сб. обзоров /РАН ИНИОН. М., 2000. – 232с.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7.Бабенко Е.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жанры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виртуального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блогосферы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конференции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Е. В. Бабенко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ред. Т.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Игнатович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Забайкал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ун-т.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2014. – 308 c.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Когнитивно-прагматические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межъязыковой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текст, дискурс,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[Текст] / И.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РУДН. – 2005. – С. 143.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9.Голодов А.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Деградация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престижных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духовно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возвы-шенных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публицистике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[Текст] / А.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Голодов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семантики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лингвометодический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аспекты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Эллипс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2006. – С. 682–686.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дискурс: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[Текст] / Б.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– М.: МАКС Пресс. – 2001.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17. – С. 45–55.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дискурс: точки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пересечения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другими дискурсами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интертекстуальности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[Текст] / А.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Зильберт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– М.: МАКС Пресс. – 2001.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19. – С. 103–112.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Козуб Л.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Лінгвокультурологічний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аспект дослідження спортивних повідомлень у друкованих засобах масової інфор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мації / Л. С. Козуб // «Гуманітарний вісник» Черкаського державного технологічного університету. Серія: Іноземна філологія. – 2008. – № 12. – С. 67–70.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13.Савченко А. В. Спорт – зона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повышенной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фразеологизации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[Текст] / А. В. Савченко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семант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контексте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лингвометодический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аспекты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Эллипс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2006. – С. 118–121.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составляющая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концепта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«футбол»: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компоненты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[Текст] / Н.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Иркутского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Лингвистика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2005. – № 3. – С. 124–136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15.Wertz, S.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Inquiries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S.K.Wertz.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Spencer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Wertz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,1991.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180 p.</w:t>
            </w: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 год.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годин аудиторних занять. З них 20 годин лекцій та 70 годин самостійної роботи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Після завершення цього курсу студент буде : </w:t>
            </w:r>
          </w:p>
          <w:p w:rsidR="00BE0966" w:rsidRDefault="002859CB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Знати особливості англомовного спортивного дискурсу та його представлення в публіцистиці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мультимедіа</w:t>
            </w:r>
            <w:proofErr w:type="spellEnd"/>
          </w:p>
          <w:p w:rsidR="00BE0966" w:rsidRDefault="002859CB"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Вміти володіти сучасним спортивним термінологічним апаратом, відповідними комунікативних навичками на рівні С1 і вище.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Спеціальний диску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рс, спорт, публіцистика,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мультимедіа</w:t>
            </w:r>
            <w:proofErr w:type="spellEnd"/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Очний /заочний 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Проведення лекцій та консультації для кращого розуміння тем</w:t>
            </w: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СХЕМА КУРСУ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 в кінці семестру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комбінований 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 базових знань з англійської мови на рівні В2, достатній для сприйняття категоріального апарату  та розуміння джерел.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Презентація, лек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 (форми – групові проекти,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 (носій мови)) проектно-орієнтоване навчання, дискусія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Мультимедійне обладнання, проектор, ноутбук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практичні/самостійні тощо: 25% семестрової оцінки; максимальна кількість балів — 25.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контрольні заміри (модуль): 25% семестрової оцінки; максимальна кількість балів — 25.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• залік: 50% семестрової оцінки. Максимальна кількість балів — 50.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Підсумкова максимальна кількість балів — 100.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</w:rPr>
              <w:t xml:space="preserve"> Очікується, що студенти виконають декілька видів письмових робіт (есе, проектну роботу). </w:t>
            </w:r>
            <w:r>
              <w:rPr>
                <w:rFonts w:ascii="Times New Roman" w:eastAsia="Times New Roman" w:hAnsi="Times New Roman" w:cs="Times New Roman"/>
                <w:b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</w:t>
            </w:r>
            <w:r>
              <w:rPr>
                <w:rFonts w:ascii="Times New Roman" w:eastAsia="Times New Roman" w:hAnsi="Times New Roman" w:cs="Times New Roman"/>
              </w:rPr>
              <w:t xml:space="preserve">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викладачем, н</w:t>
            </w:r>
            <w:r>
              <w:rPr>
                <w:rFonts w:ascii="Times New Roman" w:eastAsia="Times New Roman" w:hAnsi="Times New Roman" w:cs="Times New Roman"/>
              </w:rPr>
              <w:t xml:space="preserve">езалежно від масштабів плагіату чи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обману. </w:t>
            </w:r>
            <w:r>
              <w:rPr>
                <w:rFonts w:ascii="Times New Roman" w:eastAsia="Times New Roman" w:hAnsi="Times New Roman" w:cs="Times New Roman"/>
                <w:b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</w:t>
            </w:r>
            <w:r>
              <w:rPr>
                <w:rFonts w:ascii="Times New Roman" w:eastAsia="Times New Roman" w:hAnsi="Times New Roman" w:cs="Times New Roman"/>
              </w:rPr>
              <w:t xml:space="preserve">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</w:rPr>
              <w:t>Література.</w:t>
            </w:r>
            <w:r>
              <w:rPr>
                <w:rFonts w:ascii="Times New Roman" w:eastAsia="Times New Roman" w:hAnsi="Times New Roman" w:cs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</w:t>
            </w:r>
            <w:r>
              <w:rPr>
                <w:rFonts w:ascii="Times New Roman" w:eastAsia="Times New Roman" w:hAnsi="Times New Roman" w:cs="Times New Roman"/>
              </w:rPr>
              <w:t>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Враховуються бали набрані на поточному тестуванні, самостійній роботі (проекті) та бали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Жодні форми порушення академічної доброчесності не толеруються.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96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Теми проектів: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soccer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football</w:t>
            </w:r>
            <w:proofErr w:type="spellEnd"/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baseball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basketball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Olympic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commentaries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reviews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rivalry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boxing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cricket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rugby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aerobics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E0966" w:rsidRPr="002859C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0966" w:rsidRDefault="002859CB">
      <w:pPr>
        <w:pStyle w:val="normal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Схема курсу</w:t>
      </w:r>
    </w:p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"/>
        <w:tblW w:w="1057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206"/>
        <w:gridCol w:w="1854"/>
        <w:gridCol w:w="1834"/>
        <w:gridCol w:w="2268"/>
        <w:gridCol w:w="1276"/>
        <w:gridCol w:w="2136"/>
      </w:tblGrid>
      <w:tr w:rsidR="00BE0966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</w:tr>
      <w:tr w:rsidR="00BE0966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peculiarities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P.145-147,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08.05.2021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Sports-talk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commentaries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pp.152-153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Sports-talk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'new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sportswriting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pp.159-163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regional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pp.154-158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cohesion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1998. -117 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Essay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BBC, CNN,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idioms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pp.148-151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Групова робота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BE0966"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Summing-up.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</w:t>
            </w:r>
          </w:p>
          <w:p w:rsidR="00BE0966" w:rsidRDefault="002859C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66" w:rsidRDefault="00BE096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966" w:rsidRDefault="00BE096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0966" w:rsidRDefault="00BE0966">
      <w:pPr>
        <w:pStyle w:val="normal"/>
        <w:rPr>
          <w:rFonts w:ascii="Times New Roman" w:eastAsia="Times New Roman" w:hAnsi="Times New Roman" w:cs="Times New Roman"/>
          <w:i/>
          <w:sz w:val="8"/>
          <w:szCs w:val="8"/>
        </w:rPr>
      </w:pPr>
    </w:p>
    <w:sectPr w:rsidR="00BE0966" w:rsidSect="00BE0966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578"/>
    <w:multiLevelType w:val="multilevel"/>
    <w:tmpl w:val="9FB4639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2F4E05E2"/>
    <w:multiLevelType w:val="multilevel"/>
    <w:tmpl w:val="AA68E080"/>
    <w:lvl w:ilvl="0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0966"/>
    <w:rsid w:val="002859CB"/>
    <w:rsid w:val="00B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6"/>
    <w:rPr>
      <w:rFonts w:eastAsia="SimSun" w:cs="Mangal"/>
      <w:kern w:val="2"/>
      <w:lang w:val="en-US" w:eastAsia="zh-CN" w:bidi="hi-IN"/>
    </w:rPr>
  </w:style>
  <w:style w:type="paragraph" w:styleId="1">
    <w:name w:val="heading 1"/>
    <w:basedOn w:val="normal"/>
    <w:next w:val="normal"/>
    <w:rsid w:val="00BE09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E09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E09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E09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E09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E09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0966"/>
  </w:style>
  <w:style w:type="table" w:customStyle="1" w:styleId="TableNormal">
    <w:name w:val="Table Normal"/>
    <w:rsid w:val="00BE0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09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qFormat/>
    <w:rsid w:val="00BE0966"/>
    <w:rPr>
      <w:rFonts w:ascii="Garamond" w:eastAsia="Times New Roman" w:hAnsi="Garamond" w:cs="Garamond"/>
      <w:color w:val="000000"/>
      <w:lang w:val="uk-UA"/>
    </w:rPr>
  </w:style>
  <w:style w:type="character" w:customStyle="1" w:styleId="WW8Num4z1">
    <w:name w:val="WW8Num4z1"/>
    <w:qFormat/>
    <w:rsid w:val="00BE0966"/>
    <w:rPr>
      <w:rFonts w:ascii="Courier New" w:hAnsi="Courier New" w:cs="Courier New"/>
    </w:rPr>
  </w:style>
  <w:style w:type="character" w:customStyle="1" w:styleId="WW8Num4z2">
    <w:name w:val="WW8Num4z2"/>
    <w:qFormat/>
    <w:rsid w:val="00BE0966"/>
    <w:rPr>
      <w:rFonts w:ascii="Wingdings" w:hAnsi="Wingdings" w:cs="Wingdings"/>
    </w:rPr>
  </w:style>
  <w:style w:type="character" w:customStyle="1" w:styleId="WW8Num4z3">
    <w:name w:val="WW8Num4z3"/>
    <w:qFormat/>
    <w:rsid w:val="00BE0966"/>
    <w:rPr>
      <w:rFonts w:ascii="Symbol" w:hAnsi="Symbol" w:cs="Symbol"/>
    </w:rPr>
  </w:style>
  <w:style w:type="character" w:customStyle="1" w:styleId="a4">
    <w:name w:val="Символ нумерації"/>
    <w:qFormat/>
    <w:rsid w:val="00BE0966"/>
  </w:style>
  <w:style w:type="character" w:customStyle="1" w:styleId="a5">
    <w:name w:val="Маркери списку"/>
    <w:qFormat/>
    <w:rsid w:val="00BE096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BE09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BE0966"/>
    <w:pPr>
      <w:spacing w:after="140" w:line="288" w:lineRule="auto"/>
    </w:pPr>
  </w:style>
  <w:style w:type="paragraph" w:styleId="a8">
    <w:name w:val="List"/>
    <w:basedOn w:val="a7"/>
    <w:rsid w:val="00BE0966"/>
  </w:style>
  <w:style w:type="paragraph" w:customStyle="1" w:styleId="Caption">
    <w:name w:val="Caption"/>
    <w:basedOn w:val="a"/>
    <w:qFormat/>
    <w:rsid w:val="00BE0966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BE0966"/>
    <w:pPr>
      <w:suppressLineNumbers/>
    </w:pPr>
  </w:style>
  <w:style w:type="paragraph" w:styleId="aa">
    <w:name w:val="List Paragraph"/>
    <w:basedOn w:val="a"/>
    <w:qFormat/>
    <w:rsid w:val="00BE09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ab">
    <w:name w:val="Вміст таблиці"/>
    <w:basedOn w:val="a"/>
    <w:qFormat/>
    <w:rsid w:val="00BE0966"/>
    <w:pPr>
      <w:suppressLineNumbers/>
    </w:pPr>
  </w:style>
  <w:style w:type="paragraph" w:customStyle="1" w:styleId="ac">
    <w:name w:val="Заголовок таблиці"/>
    <w:basedOn w:val="ab"/>
    <w:qFormat/>
    <w:rsid w:val="00BE0966"/>
    <w:pPr>
      <w:jc w:val="center"/>
    </w:pPr>
    <w:rPr>
      <w:b/>
      <w:bCs/>
    </w:rPr>
  </w:style>
  <w:style w:type="numbering" w:customStyle="1" w:styleId="WW8Num4">
    <w:name w:val="WW8Num4"/>
    <w:qFormat/>
    <w:rsid w:val="00BE0966"/>
  </w:style>
  <w:style w:type="paragraph" w:styleId="ad">
    <w:name w:val="Subtitle"/>
    <w:basedOn w:val="a"/>
    <w:next w:val="a"/>
    <w:rsid w:val="00BE09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BE096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rsid w:val="00BE096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HNjCbwihL9zCWoBydmMcic3fQ==">AMUW2mXutEuj0iZqFZqx0P/LbIJTdarf3Opiq9GByvx0YrJF3O+GIMbsio+9c7vihofIi01u3Ksin+YgDZvV7a+kiXU8CAWa6lpbuloAaIniTzPrWTeRvKSapLKxJEA8X4tIIkm+8/VA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7122</Words>
  <Characters>4060</Characters>
  <Application>Microsoft Office Word</Application>
  <DocSecurity>0</DocSecurity>
  <Lines>33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2017-10-20T23:40:00Z</dcterms:created>
  <dcterms:modified xsi:type="dcterms:W3CDTF">2021-02-26T18:24:00Z</dcterms:modified>
</cp:coreProperties>
</file>