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>
      <w:pPr>
        <w:pStyle w:val="Style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Кафедра французької філології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7080" w:hanging="0"/>
        <w:rPr/>
      </w:pPr>
      <w:r>
        <w:rPr/>
      </w:r>
    </w:p>
    <w:p>
      <w:pPr>
        <w:pStyle w:val="Normal"/>
        <w:ind w:left="7080" w:hanging="0"/>
        <w:rPr/>
      </w:pPr>
      <w:r>
        <w:rPr/>
      </w:r>
    </w:p>
    <w:p>
      <w:pPr>
        <w:pStyle w:val="Normal"/>
        <w:ind w:left="7080" w:hanging="0"/>
        <w:jc w:val="right"/>
        <w:rPr/>
      </w:pPr>
      <w:r>
        <w:rPr/>
        <w:t xml:space="preserve">       “</w:t>
      </w:r>
      <w:r>
        <w:rPr>
          <w:b/>
        </w:rPr>
        <w:t>ЗАТВЕРДЖУЮ</w:t>
      </w:r>
      <w:r>
        <w:rPr/>
        <w:t>”</w:t>
      </w:r>
    </w:p>
    <w:p>
      <w:pPr>
        <w:pStyle w:val="Style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Голова Вченої ради</w:t>
      </w:r>
    </w:p>
    <w:p>
      <w:pPr>
        <w:pStyle w:val="Style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факультету іноземних мов</w:t>
      </w:r>
    </w:p>
    <w:p>
      <w:pPr>
        <w:pStyle w:val="Style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доц. Сулим В.Т.</w:t>
      </w:r>
    </w:p>
    <w:p>
      <w:pPr>
        <w:pStyle w:val="Style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</w:t>
      </w:r>
    </w:p>
    <w:p>
      <w:pPr>
        <w:pStyle w:val="Style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______”_______________ 2018 р.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2"/>
        <w:numPr>
          <w:ilvl w:val="1"/>
          <w:numId w:val="1"/>
        </w:numPr>
        <w:shd w:fill="FFFFFF" w:val="clear"/>
        <w:jc w:val="center"/>
        <w:rPr>
          <w:rFonts w:ascii="Times New Roman" w:hAnsi="Times New Roman" w:cs="Times New Roman"/>
          <w:i w:val="false"/>
          <w:i w:val="false"/>
          <w:iCs w:val="false"/>
          <w:lang w:val="uk-UA"/>
        </w:rPr>
      </w:pPr>
      <w:r>
        <w:rPr>
          <w:rFonts w:cs="Times New Roman" w:ascii="Times New Roman" w:hAnsi="Times New Roman"/>
          <w:i w:val="false"/>
          <w:iCs w:val="false"/>
          <w:lang w:val="uk-UA"/>
        </w:rPr>
        <w:t xml:space="preserve">РОБОЧА </w:t>
      </w:r>
      <w:r>
        <w:rPr>
          <w:rFonts w:cs="Times New Roman" w:ascii="Times New Roman" w:hAnsi="Times New Roman"/>
          <w:i w:val="false"/>
          <w:iCs w:val="false"/>
        </w:rPr>
        <w:t xml:space="preserve">ПРОГРАМА НАВЧАЛЬНОЇ ДИСЦИПЛІНИ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iCs/>
          <w:lang w:val="uk-UA"/>
        </w:rPr>
      </w:pPr>
      <w:r>
        <w:rPr>
          <w:rFonts w:cs="Times New Roman"/>
          <w:b/>
          <w:i/>
          <w:iCs/>
          <w:lang w:val="uk-UA"/>
        </w:rPr>
      </w:r>
    </w:p>
    <w:p>
      <w:pPr>
        <w:pStyle w:val="Normal"/>
        <w:jc w:val="center"/>
        <w:rPr>
          <w:caps/>
          <w:lang w:val="uk-UA"/>
        </w:rPr>
      </w:pPr>
      <w:r>
        <w:rPr/>
        <w:t xml:space="preserve"> </w:t>
      </w:r>
      <w:r>
        <w:rPr>
          <w:b/>
          <w:bCs/>
          <w:caps/>
          <w:lang w:val="uk-UA"/>
        </w:rPr>
        <w:t xml:space="preserve">Друга іноземна мова (іспанська) </w:t>
      </w:r>
    </w:p>
    <w:p>
      <w:pPr>
        <w:pStyle w:val="NoSpacing1"/>
        <w:rPr>
          <w:rFonts w:ascii="Times New Roman" w:hAnsi="Times New Roman" w:cs="Times New Roman"/>
          <w:caps/>
          <w:sz w:val="16"/>
          <w:szCs w:val="16"/>
          <w:lang w:val="uk-UA"/>
        </w:rPr>
      </w:pPr>
      <w:r>
        <w:rPr>
          <w:rFonts w:cs="Times New Roman" w:ascii="Times New Roman" w:hAnsi="Times New Roman"/>
          <w:caps/>
          <w:sz w:val="16"/>
          <w:szCs w:val="16"/>
          <w:lang w:val="uk-UA"/>
        </w:rPr>
      </w:r>
    </w:p>
    <w:p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галузі  знань </w:t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03 Гуманітарні науки</w:t>
      </w:r>
    </w:p>
    <w:p>
      <w:pPr>
        <w:pStyle w:val="NoSpacing1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NoSpacing1"/>
        <w:rPr/>
      </w:pPr>
      <w:r>
        <w:rPr>
          <w:rFonts w:cs="Times New Roman" w:ascii="Times New Roman" w:hAnsi="Times New Roman"/>
          <w:sz w:val="24"/>
          <w:szCs w:val="24"/>
        </w:rPr>
        <w:t>спеціальності</w:t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035 Філологія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11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ind w:left="3540" w:hanging="3540"/>
        <w:jc w:val="both"/>
        <w:rPr>
          <w:rFonts w:ascii="Times New Roman" w:hAnsi="Times New Roman" w:cs="Times New Roman"/>
          <w:sz w:val="24"/>
          <w:szCs w:val="24"/>
          <w:highlight w:val="magenta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спеціалізації</w:t>
        <w:tab/>
      </w:r>
      <w:r>
        <w:rPr>
          <w:rFonts w:cs="Times New Roman" w:ascii="Times New Roman" w:hAnsi="Times New Roman"/>
          <w:b/>
          <w:sz w:val="24"/>
          <w:szCs w:val="24"/>
        </w:rPr>
        <w:t>035.04 Германські мови та літератури (переклад включно)</w:t>
      </w:r>
    </w:p>
    <w:p>
      <w:pPr>
        <w:pStyle w:val="NoSpacing1"/>
        <w:rPr>
          <w:rFonts w:ascii="Times New Roman" w:hAnsi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ab/>
        <w:tab/>
        <w:tab/>
        <w:tab/>
        <w:tab/>
      </w:r>
    </w:p>
    <w:p>
      <w:pPr>
        <w:pStyle w:val="NoSpacing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освітньо-професійної </w:t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Англійська мова і література</w:t>
      </w:r>
    </w:p>
    <w:p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програми</w:t>
      </w:r>
    </w:p>
    <w:p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факультету </w:t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іноземних мов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cs="Times New Roman"/>
          <w:sz w:val="36"/>
          <w:szCs w:val="24"/>
        </w:rPr>
      </w:r>
    </w:p>
    <w:p>
      <w:pPr>
        <w:pStyle w:val="Normal"/>
        <w:jc w:val="both"/>
        <w:rPr>
          <w:sz w:val="36"/>
          <w:lang w:val="uk-UA"/>
        </w:rPr>
      </w:pPr>
      <w:r>
        <w:rPr>
          <w:sz w:val="36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</w:rPr>
        <w:t xml:space="preserve"> </w:t>
      </w:r>
      <w:r>
        <w:rPr>
          <w:b/>
        </w:rPr>
        <w:t>201</w:t>
      </w:r>
      <w:r>
        <w:rPr>
          <w:b/>
          <w:lang w:val="uk-UA"/>
        </w:rPr>
        <w:t>8-2019</w:t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  <w:highlight w:val="magenta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Друга іноземна мова (іспанська). </w:t>
      </w:r>
      <w:r>
        <w:rPr>
          <w:rFonts w:cs="Times New Roman" w:ascii="Times New Roman" w:hAnsi="Times New Roman"/>
          <w:sz w:val="24"/>
          <w:szCs w:val="24"/>
        </w:rPr>
        <w:t xml:space="preserve">Робоча програма навчальної дисципліни складена на основі </w:t>
      </w:r>
      <w:r>
        <w:rPr>
          <w:rFonts w:cs="Times New Roman" w:ascii="Times New Roman" w:hAnsi="Times New Roman"/>
          <w:b/>
          <w:i/>
          <w:sz w:val="24"/>
          <w:szCs w:val="24"/>
        </w:rPr>
        <w:t>освітньо-професійної програми</w:t>
      </w:r>
      <w:r>
        <w:rPr>
          <w:rFonts w:cs="Times New Roman" w:ascii="Times New Roman" w:hAnsi="Times New Roman"/>
          <w:sz w:val="24"/>
          <w:szCs w:val="24"/>
        </w:rPr>
        <w:t xml:space="preserve"> ДСВО 03 Гуманітарні науки, напряму 035 Філологія,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варіативної частини освітньо-професійної програми </w:t>
      </w:r>
      <w:r>
        <w:rPr>
          <w:rFonts w:cs="Times New Roman" w:ascii="Times New Roman" w:hAnsi="Times New Roman"/>
          <w:sz w:val="24"/>
          <w:szCs w:val="24"/>
        </w:rPr>
        <w:t>Англійська мова і література, 2016 року.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highlight w:val="magenta"/>
          <w:u w:val="single"/>
          <w:lang w:val="uk-UA"/>
        </w:rPr>
      </w:pPr>
      <w:r>
        <w:rPr>
          <w:rFonts w:cs="Times New Roman"/>
          <w:sz w:val="22"/>
          <w:szCs w:val="22"/>
          <w:highlight w:val="magenta"/>
          <w:u w:val="single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/>
      </w:pPr>
      <w:r>
        <w:rPr>
          <w:b/>
        </w:rPr>
        <w:t>Розробники:</w:t>
      </w:r>
      <w:r>
        <w:rPr/>
        <w:t xml:space="preserve"> ас. Кушнір, ас. Маєвська О.С., ас. Осєчко С.М., ас. Хомицька І.І., ас. Лесько Х.С., ас. Сайфутдінова О.Ю., ас. Фар’ян В.Ю., ас. Сухорська Н.І,  ас. Лисюк В.В., ас. Лисюк С.В.</w:t>
      </w:r>
    </w:p>
    <w:p>
      <w:pPr>
        <w:pStyle w:val="Normal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(вчена ступінь, вчене звання, ім’я та ініціали автора (ів) програми)</w:t>
      </w:r>
    </w:p>
    <w:p>
      <w:pPr>
        <w:pStyle w:val="Normal"/>
        <w:spacing w:lineRule="auto" w:line="276"/>
        <w:jc w:val="both"/>
        <w:rPr>
          <w:sz w:val="22"/>
          <w:szCs w:val="16"/>
        </w:rPr>
      </w:pPr>
      <w:r>
        <w:rPr>
          <w:sz w:val="22"/>
          <w:szCs w:val="16"/>
        </w:rPr>
      </w:r>
    </w:p>
    <w:p>
      <w:pPr>
        <w:pStyle w:val="Normal"/>
        <w:spacing w:lineRule="auto" w:line="276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</w:rPr>
      </w:pPr>
      <w:r>
        <w:rPr/>
        <w:t xml:space="preserve">Робоча програма затверджена на засіданні </w:t>
      </w:r>
      <w:r>
        <w:rPr>
          <w:b/>
          <w:bCs/>
          <w:iCs/>
        </w:rPr>
        <w:t>кафедри французької філології</w:t>
      </w:r>
    </w:p>
    <w:p>
      <w:pPr>
        <w:pStyle w:val="Normal"/>
        <w:jc w:val="both"/>
        <w:rPr/>
      </w:pPr>
      <w:r>
        <w:rPr/>
        <w:t>Протокол № 1</w:t>
      </w:r>
      <w:r>
        <w:rPr>
          <w:lang w:val="en-US"/>
        </w:rPr>
        <w:t>0</w:t>
      </w:r>
      <w:r>
        <w:rPr/>
        <w:t xml:space="preserve"> від </w:t>
      </w:r>
      <w:r>
        <w:rPr>
          <w:lang w:val="en-US"/>
        </w:rPr>
        <w:t>14 черв</w:t>
      </w:r>
      <w:r>
        <w:rPr/>
        <w:t>ня  2018 року.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Завідувач кафедри </w:t>
      </w:r>
      <w:r>
        <w:rPr>
          <w:b/>
        </w:rPr>
        <w:t>французької філології</w:t>
      </w:r>
      <w:r>
        <w:rPr/>
        <w:t xml:space="preserve">           ________________   /проф. Помірко Р.С./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  <w:tab/>
        <w:tab/>
        <w:t xml:space="preserve">   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/>
        <w:t xml:space="preserve">Затверджено рішенням Вченої ради факультету іноземних мов </w:t>
      </w:r>
    </w:p>
    <w:p>
      <w:pPr>
        <w:pStyle w:val="32"/>
        <w:rPr/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enter" w:pos="4677" w:leader="none"/>
        </w:tabs>
        <w:rPr>
          <w:sz w:val="22"/>
          <w:szCs w:val="22"/>
          <w:lang w:val="uk-UA"/>
        </w:rPr>
      </w:pPr>
      <w:r>
        <w:rPr/>
        <w:t>Протокол № 11 від  26 червня 2018 р.</w:t>
        <w:tab/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/>
      </w:pPr>
      <w:r>
        <w:rPr/>
        <w:t>“</w:t>
      </w:r>
      <w:r>
        <w:rPr/>
        <w:t xml:space="preserve">_____”________________2018 р.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Голова        __________________                                                    доц. Сулим В.Т.     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(підпис)                                                                                                  </w:t>
      </w:r>
    </w:p>
    <w:p>
      <w:pPr>
        <w:pStyle w:val="Normal"/>
        <w:jc w:val="both"/>
        <w:rPr>
          <w:rFonts w:ascii="Calibri" w:hAnsi="Calibri" w:cs="Calibri"/>
          <w:color w:val="FF0000"/>
          <w:sz w:val="22"/>
          <w:szCs w:val="22"/>
          <w:lang w:val="uk-UA"/>
        </w:rPr>
      </w:pPr>
      <w:r>
        <w:rPr>
          <w:rFonts w:cs="Calibri" w:ascii="Calibri" w:hAnsi="Calibri"/>
          <w:color w:val="FF0000"/>
          <w:sz w:val="22"/>
          <w:szCs w:val="22"/>
          <w:lang w:val="uk-UA"/>
        </w:rPr>
      </w:r>
    </w:p>
    <w:p>
      <w:pPr>
        <w:pStyle w:val="Normal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cs="Calibri" w:ascii="Calibri" w:hAnsi="Calibri"/>
          <w:color w:val="FF0000"/>
          <w:sz w:val="22"/>
          <w:szCs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left="6720" w:hanging="0"/>
        <w:rPr>
          <w:sz w:val="22"/>
        </w:rPr>
      </w:pPr>
      <w:r>
        <w:rPr>
          <w:sz w:val="22"/>
        </w:rPr>
      </w:r>
    </w:p>
    <w:p>
      <w:pPr>
        <w:pStyle w:val="Normal"/>
        <w:ind w:left="6720" w:hanging="0"/>
        <w:rPr>
          <w:sz w:val="22"/>
        </w:rPr>
      </w:pPr>
      <w:r>
        <w:rPr>
          <w:sz w:val="22"/>
        </w:rPr>
      </w:r>
    </w:p>
    <w:p>
      <w:pPr>
        <w:pStyle w:val="Normal"/>
        <w:ind w:left="6720" w:hanging="0"/>
        <w:rPr>
          <w:sz w:val="22"/>
        </w:rPr>
      </w:pPr>
      <w:r>
        <w:rPr>
          <w:sz w:val="22"/>
        </w:rPr>
      </w:r>
    </w:p>
    <w:p>
      <w:pPr>
        <w:pStyle w:val="Normal"/>
        <w:ind w:left="6720" w:hanging="0"/>
        <w:rPr>
          <w:sz w:val="22"/>
        </w:rPr>
      </w:pPr>
      <w:r>
        <w:rPr>
          <w:sz w:val="22"/>
        </w:rPr>
      </w:r>
    </w:p>
    <w:p>
      <w:pPr>
        <w:pStyle w:val="Normal"/>
        <w:ind w:left="6720" w:hanging="0"/>
        <w:rPr>
          <w:sz w:val="22"/>
        </w:rPr>
      </w:pPr>
      <w:r>
        <w:rPr>
          <w:sz w:val="22"/>
        </w:rPr>
      </w:r>
    </w:p>
    <w:p>
      <w:pPr>
        <w:pStyle w:val="Normal"/>
        <w:ind w:left="6720" w:hanging="0"/>
        <w:rPr>
          <w:sz w:val="22"/>
        </w:rPr>
      </w:pPr>
      <w:r>
        <w:rPr>
          <w:sz w:val="22"/>
        </w:rPr>
      </w:r>
    </w:p>
    <w:p>
      <w:pPr>
        <w:pStyle w:val="Normal"/>
        <w:ind w:left="6720" w:hanging="0"/>
        <w:rPr>
          <w:sz w:val="22"/>
        </w:rPr>
      </w:pPr>
      <w:r>
        <w:rPr>
          <w:sz w:val="22"/>
        </w:rPr>
      </w:r>
    </w:p>
    <w:p>
      <w:pPr>
        <w:pStyle w:val="Normal"/>
        <w:ind w:left="6720" w:hanging="0"/>
        <w:rPr>
          <w:sz w:val="22"/>
        </w:rPr>
      </w:pPr>
      <w:r>
        <w:rPr>
          <w:sz w:val="22"/>
        </w:rPr>
      </w:r>
    </w:p>
    <w:p>
      <w:pPr>
        <w:pStyle w:val="Normal"/>
        <w:ind w:left="6720" w:hanging="0"/>
        <w:rPr>
          <w:sz w:val="22"/>
        </w:rPr>
      </w:pPr>
      <w:r>
        <w:rPr>
          <w:sz w:val="22"/>
        </w:rPr>
      </w:r>
    </w:p>
    <w:p>
      <w:pPr>
        <w:pStyle w:val="Normal"/>
        <w:ind w:left="6720" w:hanging="0"/>
        <w:rPr>
          <w:sz w:val="22"/>
        </w:rPr>
      </w:pPr>
      <w:r>
        <w:rPr>
          <w:sz w:val="22"/>
        </w:rPr>
      </w:r>
    </w:p>
    <w:p>
      <w:pPr>
        <w:pStyle w:val="Normal"/>
        <w:ind w:left="6720" w:hanging="0"/>
        <w:rPr>
          <w:sz w:val="22"/>
        </w:rPr>
      </w:pPr>
      <w:r>
        <w:rPr>
          <w:sz w:val="22"/>
        </w:rPr>
      </w:r>
    </w:p>
    <w:p>
      <w:pPr>
        <w:pStyle w:val="Normal"/>
        <w:ind w:left="6720" w:hanging="0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ind w:left="6720" w:hanging="0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ind w:left="6720" w:hanging="0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ind w:left="6720" w:hanging="0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ind w:left="6720" w:hanging="0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ind w:left="6720" w:hanging="0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ind w:left="6720" w:hanging="0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ind w:left="6720" w:hanging="0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ind w:left="6720" w:hanging="0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ind w:left="6720" w:hanging="0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1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  <w:t>Опис навчальної дисципліни</w:t>
      </w:r>
    </w:p>
    <w:p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  <w:t xml:space="preserve">(Витяг з робочої програми  навчальної дисципліни </w:t>
      </w:r>
    </w:p>
    <w:p>
      <w:pPr>
        <w:pStyle w:val="1"/>
        <w:numPr>
          <w:ilvl w:val="0"/>
          <w:numId w:val="1"/>
        </w:numPr>
        <w:jc w:val="center"/>
        <w:rPr/>
      </w:pPr>
      <w:r>
        <w:rPr>
          <w:rFonts w:cs="Times New Roman" w:ascii="Times New Roman" w:hAnsi="Times New Roman"/>
          <w:bCs w:val="false"/>
          <w:sz w:val="24"/>
          <w:szCs w:val="24"/>
        </w:rPr>
        <w:t>“</w:t>
      </w:r>
      <w:r>
        <w:rPr>
          <w:rFonts w:cs="Times New Roman" w:ascii="Times New Roman" w:hAnsi="Times New Roman"/>
          <w:bCs w:val="false"/>
          <w:sz w:val="24"/>
          <w:szCs w:val="24"/>
        </w:rPr>
        <w:t>Друга іноземна мова (іспанська)”)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</w:r>
    </w:p>
    <w:tbl>
      <w:tblPr>
        <w:tblW w:w="9366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96"/>
        <w:gridCol w:w="2499"/>
        <w:gridCol w:w="2023"/>
        <w:gridCol w:w="114"/>
        <w:gridCol w:w="1834"/>
      </w:tblGrid>
      <w:tr>
        <w:trPr>
          <w:trHeight w:val="803" w:hRule="atLeast"/>
          <w:cantSplit w:val="true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>
        <w:trPr>
          <w:trHeight w:val="802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>
        <w:trPr>
          <w:trHeight w:val="409" w:hRule="atLeast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4/5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 Гуманітарні науки </w:t>
            </w:r>
          </w:p>
          <w:p>
            <w:pPr>
              <w:pStyle w:val="Normal"/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035 Філологія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3</w:t>
            </w:r>
          </w:p>
        </w:tc>
      </w:tr>
      <w:tr>
        <w:trPr>
          <w:trHeight w:val="207" w:hRule="atLeast"/>
          <w:cantSplit w:val="true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Спеціалізація </w:t>
            </w:r>
            <w:r>
              <w:rPr/>
              <w:t>035.04 Германські мови та літератури (переклад включно</w:t>
            </w:r>
            <w:r>
              <w:rPr>
                <w:lang w:val="uk-UA"/>
              </w:rPr>
              <w:t>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>
        <w:trPr>
          <w:trHeight w:val="232" w:hRule="atLeast"/>
          <w:cantSplit w:val="true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>
        <w:trPr>
          <w:trHeight w:val="323" w:hRule="atLeast"/>
          <w:cantSplit w:val="true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</w:t>
            </w:r>
            <w:r>
              <w:rPr>
                <w:sz w:val="22"/>
                <w:lang w:val="uk-UA"/>
              </w:rPr>
              <w:t>270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  <w:lang w:val="en-US"/>
              </w:rPr>
              <w:t>5-</w:t>
            </w:r>
            <w:r>
              <w:rPr>
                <w:szCs w:val="28"/>
                <w:lang w:val="uk-UA"/>
              </w:rPr>
              <w:t>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  <w:lang w:val="uk-UA"/>
              </w:rPr>
              <w:t>6-й</w:t>
            </w:r>
          </w:p>
        </w:tc>
      </w:tr>
      <w:tr>
        <w:trPr>
          <w:trHeight w:val="322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>
        <w:trPr>
          <w:trHeight w:val="320" w:hRule="atLeast"/>
          <w:cantSplit w:val="true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>
            <w:pPr>
              <w:pStyle w:val="Normal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аудиторних – 5/6</w:t>
            </w:r>
          </w:p>
          <w:p>
            <w:pPr>
              <w:pStyle w:val="Normal"/>
              <w:rPr/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«бакалавр»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</w:tr>
      <w:tr>
        <w:trPr>
          <w:trHeight w:val="320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>
        <w:trPr>
          <w:trHeight w:val="320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 год.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  <w:lang w:val="uk-UA"/>
              </w:rPr>
              <w:t xml:space="preserve">96 </w:t>
            </w:r>
            <w:r>
              <w:rPr>
                <w:szCs w:val="28"/>
                <w:shd w:fill="FFFFFF" w:val="clear"/>
                <w:lang w:val="uk-UA"/>
              </w:rPr>
              <w:t>г</w:t>
            </w:r>
            <w:r>
              <w:rPr>
                <w:szCs w:val="28"/>
                <w:lang w:val="uk-UA"/>
              </w:rPr>
              <w:t>од.</w:t>
            </w:r>
          </w:p>
        </w:tc>
      </w:tr>
      <w:tr>
        <w:trPr>
          <w:trHeight w:val="138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>
        <w:trPr>
          <w:trHeight w:val="138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</w:tr>
      <w:tr>
        <w:trPr>
          <w:trHeight w:val="138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>
        <w:trPr>
          <w:trHeight w:val="138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 год.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  <w:lang w:val="uk-UA"/>
              </w:rPr>
              <w:t>54 год.</w:t>
            </w:r>
          </w:p>
        </w:tc>
      </w:tr>
      <w:tr>
        <w:trPr>
          <w:trHeight w:val="138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>
        <w:trPr>
          <w:trHeight w:val="138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fr-FR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1"/>
        <w:numPr>
          <w:ilvl w:val="0"/>
          <w:numId w:val="9"/>
        </w:numPr>
        <w:spacing w:before="0" w:after="0"/>
        <w:jc w:val="center"/>
        <w:rPr>
          <w:bCs w:val="false"/>
          <w:i/>
          <w:i/>
          <w:sz w:val="26"/>
          <w:szCs w:val="26"/>
        </w:rPr>
      </w:pPr>
      <w:r>
        <w:rPr>
          <w:bCs w:val="false"/>
          <w:i/>
          <w:sz w:val="26"/>
          <w:szCs w:val="26"/>
        </w:rPr>
        <w:t>Мета та завдання навчальної дисципліни</w:t>
      </w:r>
    </w:p>
    <w:p>
      <w:pPr>
        <w:pStyle w:val="Normal"/>
        <w:rPr>
          <w:bCs/>
          <w:i/>
          <w:i/>
          <w:sz w:val="26"/>
          <w:szCs w:val="26"/>
          <w:lang w:val="uk-UA" w:eastAsia="uk-UA"/>
        </w:rPr>
      </w:pPr>
      <w:r>
        <w:rPr>
          <w:bCs/>
          <w:i/>
          <w:sz w:val="26"/>
          <w:szCs w:val="26"/>
          <w:lang w:val="uk-UA" w:eastAsia="uk-UA"/>
        </w:rPr>
      </w:r>
    </w:p>
    <w:p>
      <w:pPr>
        <w:pStyle w:val="Style17"/>
        <w:tabs>
          <w:tab w:val="clear" w:pos="4677"/>
          <w:tab w:val="clear" w:pos="9355"/>
        </w:tabs>
        <w:ind w:firstLine="567"/>
        <w:jc w:val="both"/>
        <w:rPr/>
      </w:pPr>
      <w:r>
        <w:rPr>
          <w:b/>
        </w:rPr>
        <w:t>Мета</w:t>
      </w:r>
      <w:r>
        <w:rPr/>
        <w:t xml:space="preserve"> курсу полягає у формуванні мовної та мовленнєвої компетенції студентів.</w:t>
      </w:r>
    </w:p>
    <w:p>
      <w:pPr>
        <w:pStyle w:val="Style17"/>
        <w:tabs>
          <w:tab w:val="clear" w:pos="4677"/>
          <w:tab w:val="clear" w:pos="9355"/>
        </w:tabs>
        <w:ind w:firstLine="567"/>
        <w:jc w:val="both"/>
        <w:rPr/>
      </w:pPr>
      <w:r>
        <w:rPr/>
        <w:t>Мовна компетенція передбачає знання системи мовних моделей та вербалізованих лінгвістичних операцій, що регулюють процес породження актуальних речень відповідно до інтенції мовця.</w:t>
      </w:r>
    </w:p>
    <w:p>
      <w:pPr>
        <w:pStyle w:val="Normal"/>
        <w:ind w:firstLine="540"/>
        <w:jc w:val="both"/>
        <w:rPr>
          <w:lang w:val="uk-UA"/>
        </w:rPr>
      </w:pPr>
      <w:r>
        <w:rPr>
          <w:lang w:val="uk-UA"/>
        </w:rPr>
        <w:t>Мовленнєва компетенція передбачає уміння студентів в автоматизованому режимі користуватися в мовленнєвій діяльності репертуаром структур і речень частого вжитку, пов'язаний з найбільш передбачуваними ситуаціями, здатність адекватно використовувати мову у різних соціально-детермінованих ситуаціях спілкування, що зумовлює розширення у матеріалі навчального курсу об’єму інформації екстралінгвістичного характеру, що має культурологічну чи країнознавчу цінність.</w:t>
      </w:r>
    </w:p>
    <w:p>
      <w:pPr>
        <w:pStyle w:val="Normal"/>
        <w:ind w:firstLine="567"/>
        <w:jc w:val="both"/>
        <w:rPr>
          <w:lang w:val="uk-UA"/>
        </w:rPr>
      </w:pPr>
      <w:r>
        <w:rPr>
          <w:lang w:val="uk-UA"/>
        </w:rPr>
        <w:t>Розвиток мовної та мовленнєвої компетенції ґрунтується на принципі єдності тематичного та міжкультурного аспектів.</w:t>
      </w:r>
    </w:p>
    <w:p>
      <w:pPr>
        <w:pStyle w:val="Normal"/>
        <w:ind w:firstLine="567"/>
        <w:jc w:val="both"/>
        <w:rPr/>
      </w:pPr>
      <w:r>
        <w:rPr>
          <w:lang w:val="uk-UA"/>
        </w:rPr>
        <w:t>Тематичний аспект спирається на особистий і фаховий досвід студента і охоплює як побутову тематику (типові повсякденні ситуації, сім’я, хобі, інтереси, робота, подорожі, останні новини, музика, фільми), так і країнознавчу (суспільно-політичне, економічне та культурне життя, звичаї, звички, правила поводження, цінності та ідеали, характерні для спільноти, мова якої вивчається).</w:t>
      </w:r>
    </w:p>
    <w:p>
      <w:pPr>
        <w:pStyle w:val="Normal"/>
        <w:ind w:firstLine="567"/>
        <w:jc w:val="both"/>
        <w:rPr/>
      </w:pPr>
      <w:r>
        <w:rPr>
          <w:lang w:val="uk-UA"/>
        </w:rPr>
        <w:t xml:space="preserve">Міжкультурний аспект передбачає знання культури країни в широкому розумінні цього слова, що охоплює всі сфери людського буття. Міжкультурний аспект націлений на пізнання, толерантне сприймання і розуміння іншої культури порівняно з рідною культурою, на вдосконалення умінь будувати свою мовленнєву поведінку відповідно до соціокультурної специфіки, основних правил ввічливості, поведінки в країні, мову якої вивчають, на уміння адекватно розуміти та інтерпретувати лінгвокультурні факти. </w:t>
      </w:r>
    </w:p>
    <w:p>
      <w:pPr>
        <w:pStyle w:val="Normal"/>
        <w:tabs>
          <w:tab w:val="left" w:pos="284" w:leader="none"/>
          <w:tab w:val="left" w:pos="567" w:leader="none"/>
        </w:tabs>
        <w:ind w:firstLine="567"/>
        <w:jc w:val="both"/>
        <w:rPr>
          <w:lang w:val="uk-UA"/>
        </w:rPr>
      </w:pPr>
      <w:r>
        <w:rPr>
          <w:lang w:val="uk-UA"/>
        </w:rPr>
        <w:t>Важливими складовими формування мовної компетенції студентів є фонетична, лексична та граматична компетенція.</w:t>
      </w:r>
    </w:p>
    <w:p>
      <w:pPr>
        <w:pStyle w:val="Style17"/>
        <w:tabs>
          <w:tab w:val="clear" w:pos="4677"/>
          <w:tab w:val="clear" w:pos="9355"/>
        </w:tabs>
        <w:ind w:firstLine="567"/>
        <w:jc w:val="both"/>
        <w:rPr/>
      </w:pPr>
      <w:r>
        <w:rPr>
          <w:b/>
        </w:rPr>
        <w:t xml:space="preserve">Завдання курсу є </w:t>
      </w:r>
      <w:r>
        <w:rPr/>
        <w:t>виробити навики та уміння іспанської нормативної вимови студентів, розвинути їхні аудитивні вміння;сформувати лексичний запас обсягом 2000 слів та словосполучень; розвинути граматичні навики, необхідні для аудіювання, мовлення, читання і письма; ознайомити з головними морфологічними і синтаксичними категоріями, з парадигмами окремих частин мови, граматичною будовою основних типів простих і складних речень; виробити вміння адекватно використовувати мову у різних соціально-детермінованих ситуаціях спілкування;розвинути репродуктивні та продуктивні вміння письма.</w:t>
      </w:r>
    </w:p>
    <w:p>
      <w:pPr>
        <w:pStyle w:val="Style17"/>
        <w:tabs>
          <w:tab w:val="clear" w:pos="4677"/>
          <w:tab w:val="clear" w:pos="9355"/>
        </w:tabs>
        <w:ind w:firstLine="567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567" w:leader="none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 результаті вивчення даного курсу студент повинен </w:t>
      </w:r>
    </w:p>
    <w:p>
      <w:pPr>
        <w:pStyle w:val="Rvps3"/>
        <w:widowControl w:val="false"/>
        <w:rPr/>
      </w:pPr>
      <w:r>
        <w:rPr>
          <w:b/>
        </w:rPr>
        <w:t>знати:</w:t>
      </w:r>
      <w:r>
        <w:rPr/>
        <w:t xml:space="preserve"> .</w:t>
      </w:r>
      <w:r>
        <w:rPr>
          <w:rStyle w:val="Rvts6"/>
          <w:sz w:val="24"/>
          <w:szCs w:val="24"/>
        </w:rPr>
        <w:t xml:space="preserve"> </w:t>
      </w:r>
    </w:p>
    <w:p>
      <w:pPr>
        <w:pStyle w:val="Rvps3"/>
        <w:widowControl w:val="false"/>
        <w:numPr>
          <w:ilvl w:val="0"/>
          <w:numId w:val="2"/>
        </w:numPr>
        <w:rPr/>
      </w:pPr>
      <w:r>
        <w:rPr>
          <w:rStyle w:val="Rvts6"/>
          <w:sz w:val="24"/>
          <w:szCs w:val="24"/>
        </w:rPr>
        <w:t>особливості іспанської вокалічної і консонантної систем;</w:t>
      </w:r>
    </w:p>
    <w:p>
      <w:pPr>
        <w:pStyle w:val="Rvps3"/>
        <w:widowControl w:val="false"/>
        <w:numPr>
          <w:ilvl w:val="0"/>
          <w:numId w:val="2"/>
        </w:numPr>
        <w:rPr/>
      </w:pPr>
      <w:r>
        <w:rPr>
          <w:rStyle w:val="Rvts6"/>
          <w:sz w:val="24"/>
          <w:szCs w:val="24"/>
        </w:rPr>
        <w:t>знати засоби вираження певної комунікативної  інтенції;</w:t>
      </w:r>
    </w:p>
    <w:p>
      <w:pPr>
        <w:pStyle w:val="Style18"/>
        <w:widowControl w:val="false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Rvts6"/>
          <w:sz w:val="24"/>
          <w:szCs w:val="24"/>
          <w:lang w:val="uk-UA"/>
        </w:rPr>
        <w:t>знати формальні правила семантичних моделей породження речень і висловлювань;</w:t>
      </w:r>
    </w:p>
    <w:p>
      <w:pPr>
        <w:pStyle w:val="Rvps3"/>
        <w:widowControl w:val="false"/>
        <w:numPr>
          <w:ilvl w:val="0"/>
          <w:numId w:val="2"/>
        </w:numPr>
        <w:rPr/>
      </w:pPr>
      <w:r>
        <w:rPr>
          <w:rStyle w:val="Rvts6"/>
          <w:sz w:val="24"/>
          <w:szCs w:val="24"/>
        </w:rPr>
        <w:t>головні морфологічні і синтаксичні категорії, що складають лінгвальну сутність граматики сучасної іспанської мови;</w:t>
      </w:r>
    </w:p>
    <w:p>
      <w:pPr>
        <w:pStyle w:val="Rvps3"/>
        <w:widowControl w:val="false"/>
        <w:numPr>
          <w:ilvl w:val="0"/>
          <w:numId w:val="2"/>
        </w:numPr>
        <w:rPr/>
      </w:pPr>
      <w:r>
        <w:rPr>
          <w:rStyle w:val="Rvts6"/>
          <w:sz w:val="24"/>
          <w:szCs w:val="24"/>
        </w:rPr>
        <w:t xml:space="preserve">різні властивості слова: </w:t>
      </w:r>
      <w:r>
        <w:rPr/>
        <w:t xml:space="preserve">його семантику, стилістичну характеристику, систему форм слова, словотворчу структуру і можливості сполучення, функції в реченні  та ін. </w:t>
      </w:r>
      <w:r>
        <w:rPr>
          <w:rStyle w:val="Rvts6"/>
          <w:sz w:val="24"/>
          <w:szCs w:val="24"/>
        </w:rPr>
        <w:t xml:space="preserve">  </w:t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/>
      </w:pPr>
      <w:r>
        <w:rPr>
          <w:b/>
          <w:lang w:val="uk-UA"/>
        </w:rPr>
        <w:t xml:space="preserve">вміти: </w:t>
      </w:r>
    </w:p>
    <w:p>
      <w:pPr>
        <w:pStyle w:val="Style18"/>
        <w:widowControl w:val="false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Style w:val="Rvts6"/>
          <w:sz w:val="24"/>
          <w:szCs w:val="24"/>
          <w:lang w:val="uk-UA"/>
        </w:rPr>
        <w:t>чітко артикулювати іспанські звуки;</w:t>
      </w:r>
    </w:p>
    <w:p>
      <w:pPr>
        <w:pStyle w:val="Style18"/>
        <w:widowControl w:val="false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Style w:val="Rvts6"/>
          <w:sz w:val="24"/>
          <w:szCs w:val="24"/>
          <w:lang w:val="uk-UA"/>
        </w:rPr>
        <w:t xml:space="preserve">практично володіти лексичними одиницями </w:t>
      </w:r>
      <w:r>
        <w:rPr>
          <w:rFonts w:cs="Times New Roman" w:ascii="Times New Roman" w:hAnsi="Times New Roman"/>
          <w:sz w:val="24"/>
          <w:szCs w:val="24"/>
        </w:rPr>
        <w:t xml:space="preserve">у </w:t>
      </w:r>
      <w:r>
        <w:rPr>
          <w:rFonts w:cs="Times New Roman" w:ascii="Times New Roman" w:hAnsi="Times New Roman"/>
          <w:sz w:val="24"/>
          <w:szCs w:val="24"/>
          <w:lang w:val="uk-UA"/>
        </w:rPr>
        <w:t>певних сферах людської діяльності відповідно до програми курсу;</w:t>
      </w:r>
    </w:p>
    <w:p>
      <w:pPr>
        <w:pStyle w:val="Style18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теоретично і практично володіти запланованими для курсу граматичними темами; </w:t>
      </w:r>
    </w:p>
    <w:p>
      <w:pPr>
        <w:pStyle w:val="Style18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Style w:val="Rvts6"/>
          <w:sz w:val="24"/>
          <w:szCs w:val="24"/>
          <w:lang w:val="uk-UA"/>
        </w:rPr>
        <w:t>аналізувати іспанською мовою морфологічні і синтаксичні явища;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Style18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адекватно реагувати в певній комунікативнй ситуації, дотримуючись параметрів комунікативної відповідності, мовної правильності, правил ввічливості та поведінки.</w:t>
      </w:r>
    </w:p>
    <w:p>
      <w:pPr>
        <w:pStyle w:val="Style18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описувати досвід, події, сподівання, докази, висловлювати свою думку, робити повідомлення, отримувати інформацію у співрозмовника, передавати інформацію у непрямій мові, пояснювати головні положення ідеї або проблеми;</w:t>
      </w:r>
    </w:p>
    <w:p>
      <w:pPr>
        <w:pStyle w:val="Style18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вести бесіду в обсязі тематики курсу з опорою на фактуальні та візуальні орієнтири або без опор;</w:t>
      </w:r>
    </w:p>
    <w:p>
      <w:pPr>
        <w:pStyle w:val="Style18"/>
        <w:widowControl w:val="false"/>
        <w:numPr>
          <w:ilvl w:val="0"/>
          <w:numId w:val="3"/>
        </w:numPr>
        <w:spacing w:lineRule="auto" w:line="240" w:before="0" w:after="0"/>
        <w:jc w:val="both"/>
        <w:rPr>
          <w:rStyle w:val="Rvts6"/>
          <w:rFonts w:ascii="Calibri" w:hAnsi="Calibri" w:cs="Calibri"/>
          <w:spacing w:val="0"/>
          <w:sz w:val="22"/>
          <w:lang w:val="uk-UA"/>
        </w:rPr>
      </w:pPr>
      <w:r>
        <w:rPr>
          <w:rStyle w:val="Rvts6"/>
          <w:sz w:val="24"/>
          <w:szCs w:val="24"/>
          <w:lang w:val="uk-UA"/>
        </w:rPr>
        <w:t xml:space="preserve">дотримуючись правил орфографії написати </w:t>
      </w:r>
      <w:r>
        <w:rPr>
          <w:rFonts w:cs="Times New Roman" w:ascii="Times New Roman" w:hAnsi="Times New Roman"/>
          <w:sz w:val="24"/>
          <w:szCs w:val="24"/>
        </w:rPr>
        <w:t>послідовні зв’язні тексти на ряд знайомих тем у межах свого кола інтересів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  <w:r>
        <w:rPr>
          <w:rStyle w:val="Rvts6"/>
          <w:sz w:val="24"/>
          <w:szCs w:val="24"/>
          <w:lang w:val="uk-UA"/>
        </w:rPr>
        <w:t xml:space="preserve"> </w:t>
      </w:r>
    </w:p>
    <w:p>
      <w:pPr>
        <w:pStyle w:val="Style18"/>
        <w:widowControl w:val="false"/>
        <w:spacing w:lineRule="auto" w:line="240" w:before="0" w:after="0"/>
        <w:jc w:val="both"/>
        <w:rPr>
          <w:rStyle w:val="Rvts6"/>
          <w:sz w:val="24"/>
          <w:szCs w:val="24"/>
          <w:lang w:val="uk-UA"/>
        </w:rPr>
      </w:pPr>
      <w:r>
        <w:rPr/>
      </w:r>
    </w:p>
    <w:p>
      <w:pPr>
        <w:pStyle w:val="Style18"/>
        <w:widowControl w:val="false"/>
        <w:spacing w:lineRule="auto" w:line="240" w:before="0" w:after="0"/>
        <w:jc w:val="both"/>
        <w:rPr>
          <w:rStyle w:val="Rvts6"/>
          <w:sz w:val="24"/>
          <w:szCs w:val="24"/>
          <w:lang w:val="uk-UA"/>
        </w:rPr>
      </w:pPr>
      <w:r>
        <w:rPr/>
      </w:r>
    </w:p>
    <w:p>
      <w:pPr>
        <w:pStyle w:val="Style18"/>
        <w:widowControl w:val="false"/>
        <w:spacing w:lineRule="auto" w:line="240" w:before="0" w:after="0"/>
        <w:jc w:val="both"/>
        <w:rPr>
          <w:rStyle w:val="Rvts6"/>
          <w:sz w:val="24"/>
          <w:szCs w:val="28"/>
          <w:lang w:val="uk-UA"/>
        </w:rPr>
      </w:pPr>
      <w:r>
        <w:rPr/>
      </w:r>
    </w:p>
    <w:p>
      <w:pPr>
        <w:pStyle w:val="1"/>
        <w:numPr>
          <w:ilvl w:val="0"/>
          <w:numId w:val="9"/>
        </w:numPr>
        <w:spacing w:before="0" w:after="0"/>
        <w:jc w:val="center"/>
        <w:rPr>
          <w:bCs w:val="false"/>
          <w:i/>
          <w:i/>
          <w:sz w:val="26"/>
          <w:szCs w:val="26"/>
          <w:lang w:val="en-US"/>
        </w:rPr>
      </w:pPr>
      <w:r>
        <w:rPr>
          <w:bCs w:val="false"/>
          <w:i/>
          <w:sz w:val="26"/>
          <w:szCs w:val="26"/>
        </w:rPr>
        <w:t>Програма навчальної дисципліни</w:t>
      </w:r>
    </w:p>
    <w:p>
      <w:pPr>
        <w:pStyle w:val="Normal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5</w:t>
      </w:r>
      <w:r>
        <w:rPr>
          <w:b/>
          <w:sz w:val="26"/>
          <w:szCs w:val="26"/>
          <w:u w:val="single"/>
          <w:lang w:val="en-US"/>
        </w:rPr>
        <w:t>-</w:t>
      </w:r>
      <w:r>
        <w:rPr>
          <w:b/>
          <w:sz w:val="26"/>
          <w:szCs w:val="26"/>
          <w:u w:val="single"/>
          <w:lang w:val="uk-UA"/>
        </w:rPr>
        <w:t>й семестр</w:t>
      </w:r>
    </w:p>
    <w:p>
      <w:pPr>
        <w:pStyle w:val="Normal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1</w:t>
      </w:r>
    </w:p>
    <w:p>
      <w:pPr>
        <w:pStyle w:val="Normal"/>
        <w:jc w:val="both"/>
        <w:rPr/>
      </w:pPr>
      <w:r>
        <w:rPr/>
        <w:t xml:space="preserve">Змістовий модуль 1: </w:t>
      </w:r>
      <w:r>
        <w:rPr>
          <w:b/>
        </w:rPr>
        <w:t>Особиста сфера</w:t>
      </w:r>
      <w:r>
        <w:rPr/>
        <w:t>.</w:t>
      </w:r>
    </w:p>
    <w:p>
      <w:pPr>
        <w:pStyle w:val="Normal"/>
        <w:jc w:val="both"/>
        <w:rPr>
          <w:lang w:val="uk-UA"/>
        </w:rPr>
      </w:pPr>
      <w:r>
        <w:rPr/>
        <w:tab/>
        <w:t>Тема 1: Розвиток фонетичних та орфографічних умінь і навичок.</w:t>
      </w:r>
    </w:p>
    <w:p>
      <w:pPr>
        <w:pStyle w:val="Normal"/>
        <w:jc w:val="both"/>
        <w:rPr/>
      </w:pPr>
      <w:r>
        <w:rPr/>
        <w:tab/>
        <w:t>Тема 2: Лексико-граматичні компетенції.</w:t>
      </w:r>
    </w:p>
    <w:p>
      <w:pPr>
        <w:pStyle w:val="Normal"/>
        <w:jc w:val="both"/>
        <w:rPr/>
      </w:pPr>
      <w:r>
        <w:rPr/>
        <w:tab/>
        <w:t>Тема 3: Робота над текстом. Читання та аудіювання.</w:t>
      </w:r>
    </w:p>
    <w:p>
      <w:pPr>
        <w:pStyle w:val="Normal"/>
        <w:jc w:val="both"/>
        <w:rPr/>
      </w:pPr>
      <w:r>
        <w:rPr/>
        <w:tab/>
        <w:t>Тема 4: Розвиток комунікативно-мовленнєвої діяльності.</w:t>
      </w:r>
    </w:p>
    <w:p>
      <w:pPr>
        <w:pStyle w:val="Normal"/>
        <w:jc w:val="both"/>
        <w:rPr/>
      </w:pPr>
      <w:r>
        <w:rPr/>
        <w:tab/>
        <w:t>Тема 5: Соціокультурний аспект. Розвиток умінь і навичок.</w:t>
      </w:r>
    </w:p>
    <w:p>
      <w:pPr>
        <w:pStyle w:val="Normal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2</w:t>
      </w:r>
    </w:p>
    <w:p>
      <w:pPr>
        <w:pStyle w:val="Normal"/>
        <w:jc w:val="both"/>
        <w:rPr/>
      </w:pPr>
      <w:r>
        <w:rPr/>
        <w:t xml:space="preserve">Змістовий модуль 2: </w:t>
      </w:r>
      <w:r>
        <w:rPr>
          <w:b/>
        </w:rPr>
        <w:t>Соціально-побутова сфера</w:t>
      </w:r>
      <w:r>
        <w:rPr/>
        <w:t>.</w:t>
      </w:r>
    </w:p>
    <w:p>
      <w:pPr>
        <w:pStyle w:val="Normal"/>
        <w:jc w:val="both"/>
        <w:rPr/>
      </w:pPr>
      <w:r>
        <w:rPr/>
        <w:tab/>
        <w:t>Тема 1: Розвиток фонетичних та орфографічних умінь і навичок.</w:t>
      </w:r>
    </w:p>
    <w:p>
      <w:pPr>
        <w:pStyle w:val="Normal"/>
        <w:jc w:val="both"/>
        <w:rPr/>
      </w:pPr>
      <w:r>
        <w:rPr/>
        <w:tab/>
        <w:t>Тема 2: Лексико-граматичні компетенції.</w:t>
      </w:r>
    </w:p>
    <w:p>
      <w:pPr>
        <w:pStyle w:val="Normal"/>
        <w:jc w:val="both"/>
        <w:rPr/>
      </w:pPr>
      <w:r>
        <w:rPr/>
        <w:tab/>
        <w:t>Тема 3: Робота над текстом. Читання та аудіювання.</w:t>
      </w:r>
    </w:p>
    <w:p>
      <w:pPr>
        <w:pStyle w:val="Normal"/>
        <w:jc w:val="both"/>
        <w:rPr/>
      </w:pPr>
      <w:r>
        <w:rPr/>
        <w:tab/>
        <w:t>Тема 4: Розвиток комунікативно-мовленнєвої діяльності.</w:t>
      </w:r>
    </w:p>
    <w:p>
      <w:pPr>
        <w:pStyle w:val="Normal"/>
        <w:jc w:val="both"/>
        <w:rPr>
          <w:lang w:val="uk-UA"/>
        </w:rPr>
      </w:pPr>
      <w:r>
        <w:rPr/>
        <w:tab/>
        <w:t>Тема 5: Соціокультурний аспект. Розвиток умінь і навичок.</w:t>
      </w:r>
    </w:p>
    <w:p>
      <w:pPr>
        <w:pStyle w:val="Normal"/>
        <w:ind w:left="1440" w:hanging="1440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</w:r>
    </w:p>
    <w:p>
      <w:pPr>
        <w:pStyle w:val="Normal"/>
        <w:ind w:left="1440" w:hanging="1440"/>
        <w:jc w:val="center"/>
        <w:rPr/>
      </w:pPr>
      <w:r>
        <w:rPr>
          <w:b/>
          <w:sz w:val="26"/>
          <w:szCs w:val="26"/>
          <w:u w:val="single"/>
        </w:rPr>
        <w:t>6-</w:t>
      </w:r>
      <w:r>
        <w:rPr>
          <w:b/>
          <w:sz w:val="26"/>
          <w:szCs w:val="26"/>
          <w:u w:val="single"/>
          <w:lang w:val="uk-UA"/>
        </w:rPr>
        <w:t>й семестр</w:t>
      </w:r>
    </w:p>
    <w:p>
      <w:pPr>
        <w:pStyle w:val="Normal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3</w:t>
      </w:r>
    </w:p>
    <w:p>
      <w:pPr>
        <w:pStyle w:val="Normal"/>
        <w:jc w:val="both"/>
        <w:rPr/>
      </w:pPr>
      <w:r>
        <w:rPr/>
        <w:t xml:space="preserve">Змістовий модуль 3: </w:t>
      </w:r>
      <w:r>
        <w:rPr>
          <w:b/>
        </w:rPr>
        <w:t>Професійно-освітня сфера</w:t>
      </w:r>
      <w:r>
        <w:rPr/>
        <w:t>.</w:t>
      </w:r>
    </w:p>
    <w:p>
      <w:pPr>
        <w:pStyle w:val="Normal"/>
        <w:jc w:val="both"/>
        <w:rPr/>
      </w:pPr>
      <w:r>
        <w:rPr/>
        <w:tab/>
        <w:t>Тема 1: Розвиток фонетичних та орфографічних умінь і навичок.</w:t>
      </w:r>
    </w:p>
    <w:p>
      <w:pPr>
        <w:pStyle w:val="Normal"/>
        <w:jc w:val="both"/>
        <w:rPr/>
      </w:pPr>
      <w:r>
        <w:rPr/>
        <w:tab/>
        <w:t>Тема 2: Лексико-граматичні компетенції.</w:t>
      </w:r>
    </w:p>
    <w:p>
      <w:pPr>
        <w:pStyle w:val="Normal"/>
        <w:jc w:val="both"/>
        <w:rPr/>
      </w:pPr>
      <w:r>
        <w:rPr/>
        <w:tab/>
        <w:t>Тема 3: Робота над текстом. Читання та аудіювання.</w:t>
      </w:r>
    </w:p>
    <w:p>
      <w:pPr>
        <w:pStyle w:val="Normal"/>
        <w:jc w:val="both"/>
        <w:rPr/>
      </w:pPr>
      <w:r>
        <w:rPr/>
        <w:tab/>
        <w:t>Тема 4: Розвиток комунікативно-мовленнєвої діяльності.</w:t>
      </w:r>
    </w:p>
    <w:p>
      <w:pPr>
        <w:pStyle w:val="Normal"/>
        <w:jc w:val="both"/>
        <w:rPr/>
      </w:pPr>
      <w:r>
        <w:rPr/>
        <w:tab/>
        <w:t>Тема 5: Соціокультурний аспект. Розвиток умінь і навичок.</w:t>
      </w:r>
    </w:p>
    <w:p>
      <w:pPr>
        <w:pStyle w:val="Normal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4</w:t>
      </w:r>
    </w:p>
    <w:p>
      <w:pPr>
        <w:pStyle w:val="Normal"/>
        <w:jc w:val="both"/>
        <w:rPr/>
      </w:pPr>
      <w:r>
        <w:rPr/>
        <w:t xml:space="preserve">Змістовий модуль 4: </w:t>
      </w:r>
      <w:r>
        <w:rPr>
          <w:b/>
        </w:rPr>
        <w:t>Мистецько-культурна сфера</w:t>
      </w:r>
      <w:r>
        <w:rPr/>
        <w:t>.</w:t>
      </w:r>
    </w:p>
    <w:p>
      <w:pPr>
        <w:pStyle w:val="Normal"/>
        <w:jc w:val="both"/>
        <w:rPr/>
      </w:pPr>
      <w:r>
        <w:rPr/>
        <w:tab/>
        <w:t>Тема 1: Розвиток фонетичних та орфографічних умінь і навичок.</w:t>
      </w:r>
    </w:p>
    <w:p>
      <w:pPr>
        <w:pStyle w:val="Normal"/>
        <w:jc w:val="both"/>
        <w:rPr/>
      </w:pPr>
      <w:r>
        <w:rPr/>
        <w:tab/>
        <w:t>Тема 2: Лексико-граматичні компетенції.</w:t>
      </w:r>
    </w:p>
    <w:p>
      <w:pPr>
        <w:pStyle w:val="Normal"/>
        <w:jc w:val="both"/>
        <w:rPr/>
      </w:pPr>
      <w:r>
        <w:rPr/>
        <w:tab/>
        <w:t>Тема 3: Робота над текстом. Читання та аудіювання.</w:t>
      </w:r>
    </w:p>
    <w:p>
      <w:pPr>
        <w:pStyle w:val="Normal"/>
        <w:jc w:val="both"/>
        <w:rPr/>
      </w:pPr>
      <w:r>
        <w:rPr/>
        <w:tab/>
        <w:t>Тема 4: Розвиток комунікативно-мовленнєвої діяльності.</w:t>
      </w:r>
    </w:p>
    <w:p>
      <w:pPr>
        <w:pStyle w:val="Normal"/>
        <w:jc w:val="both"/>
        <w:rPr/>
      </w:pPr>
      <w:r>
        <w:rPr/>
        <w:tab/>
        <w:t>Тема 5: Соціокультурний аспект. Розвиток умінь і навичок.</w:t>
      </w:r>
    </w:p>
    <w:p>
      <w:pPr>
        <w:pStyle w:val="Normal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</w:r>
    </w:p>
    <w:p>
      <w:pPr>
        <w:pStyle w:val="Normal"/>
        <w:ind w:left="1440" w:hanging="1440"/>
        <w:jc w:val="center"/>
        <w:rPr>
          <w:b/>
          <w:b/>
          <w:sz w:val="26"/>
          <w:szCs w:val="26"/>
          <w:u w:val="single"/>
          <w:lang w:eastAsia="uk-UA"/>
        </w:rPr>
      </w:pPr>
      <w:r>
        <w:rPr>
          <w:b/>
          <w:sz w:val="26"/>
          <w:szCs w:val="26"/>
          <w:u w:val="single"/>
          <w:lang w:eastAsia="uk-UA"/>
        </w:rPr>
      </w:r>
    </w:p>
    <w:p>
      <w:pPr>
        <w:pStyle w:val="Normal"/>
        <w:rPr>
          <w:b/>
          <w:b/>
          <w:bCs/>
          <w:i/>
          <w:i/>
          <w:sz w:val="32"/>
          <w:szCs w:val="32"/>
          <w:u w:val="single"/>
          <w:lang w:val="uk-UA"/>
        </w:rPr>
      </w:pPr>
      <w:r>
        <w:rPr>
          <w:b/>
          <w:bCs/>
          <w:i/>
          <w:sz w:val="32"/>
          <w:szCs w:val="32"/>
          <w:u w:val="single"/>
          <w:lang w:val="uk-UA"/>
        </w:rPr>
      </w:r>
    </w:p>
    <w:p>
      <w:pPr>
        <w:pStyle w:val="Normal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</w:r>
    </w:p>
    <w:p>
      <w:pPr>
        <w:pStyle w:val="Normal"/>
        <w:ind w:firstLine="708"/>
        <w:jc w:val="center"/>
        <w:rPr>
          <w:lang w:val="uk-UA"/>
        </w:rPr>
      </w:pPr>
      <w:r>
        <w:rPr>
          <w:b/>
          <w:bCs/>
          <w:i/>
          <w:sz w:val="32"/>
          <w:szCs w:val="32"/>
          <w:lang w:val="uk-UA"/>
        </w:rPr>
        <w:t>4</w:t>
      </w:r>
      <w:r>
        <w:rPr>
          <w:rFonts w:cs="Arial" w:ascii="Arial" w:hAnsi="Arial"/>
          <w:b/>
          <w:bCs/>
          <w:i/>
          <w:kern w:val="2"/>
          <w:sz w:val="32"/>
          <w:szCs w:val="32"/>
          <w:lang w:val="uk-UA" w:eastAsia="uk-UA"/>
        </w:rPr>
        <w:t>. Структура навчальної дисципліни</w:t>
      </w:r>
    </w:p>
    <w:tbl>
      <w:tblPr>
        <w:tblW w:w="5450" w:type="pct"/>
        <w:jc w:val="left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21"/>
        <w:gridCol w:w="703"/>
        <w:gridCol w:w="529"/>
        <w:gridCol w:w="530"/>
        <w:gridCol w:w="171"/>
        <w:gridCol w:w="363"/>
        <w:gridCol w:w="163"/>
        <w:gridCol w:w="719"/>
        <w:gridCol w:w="697"/>
      </w:tblGrid>
      <w:tr>
        <w:trPr>
          <w:cantSplit w:val="true"/>
        </w:trPr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>
        <w:trPr>
          <w:cantSplit w:val="true"/>
        </w:trPr>
        <w:tc>
          <w:tcPr>
            <w:tcW w:w="6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>
        <w:trPr>
          <w:cantSplit w:val="true"/>
        </w:trPr>
        <w:tc>
          <w:tcPr>
            <w:tcW w:w="6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>
        <w:trPr>
          <w:cantSplit w:val="true"/>
        </w:trPr>
        <w:tc>
          <w:tcPr>
            <w:tcW w:w="6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>
        <w:trPr/>
        <w:tc>
          <w:tcPr>
            <w:tcW w:w="10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5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й семестр</w:t>
            </w:r>
          </w:p>
        </w:tc>
      </w:tr>
      <w:tr>
        <w:trPr>
          <w:cantSplit w:val="true"/>
        </w:trPr>
        <w:tc>
          <w:tcPr>
            <w:tcW w:w="10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>
        <w:trPr>
          <w:cantSplit w:val="true"/>
        </w:trPr>
        <w:tc>
          <w:tcPr>
            <w:tcW w:w="10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b/>
              </w:rPr>
              <w:t>Змістовий модуль 1:</w:t>
            </w:r>
            <w:r>
              <w:rPr/>
              <w:t xml:space="preserve"> </w:t>
            </w:r>
            <w:r>
              <w:rPr>
                <w:b/>
              </w:rPr>
              <w:t>Особиста сфера</w:t>
            </w:r>
            <w:r>
              <w:rPr/>
              <w:t>.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>
              <w:rPr/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>
              <w:rPr/>
              <w:t>Лексико-граматичні компетенції.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/>
              <w:t xml:space="preserve"> 3</w:t>
            </w:r>
            <w:r>
              <w:rPr>
                <w:lang w:val="uk-UA"/>
              </w:rPr>
              <w:t xml:space="preserve">. </w:t>
            </w:r>
            <w:r>
              <w:rPr/>
              <w:t>Робота над текстом. Читання та аудіювання.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>
              <w:rPr/>
              <w:t>Розвиток комунікативно-мовленнєвої діяльності.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>
              <w:rPr/>
              <w:t>Соціокультурний аспект. Розвиток умінь і навичок.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– зм. модуль1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>
        <w:trPr>
          <w:cantSplit w:val="true"/>
        </w:trPr>
        <w:tc>
          <w:tcPr>
            <w:tcW w:w="10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2</w:t>
            </w:r>
          </w:p>
        </w:tc>
      </w:tr>
      <w:tr>
        <w:trPr>
          <w:cantSplit w:val="true"/>
        </w:trPr>
        <w:tc>
          <w:tcPr>
            <w:tcW w:w="10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lang w:val="uk-UA"/>
              </w:rPr>
              <w:t>Змістовий модуль 2.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Соціально-побутова сфера</w:t>
            </w:r>
            <w:r>
              <w:rPr/>
              <w:t>.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>
              <w:rPr/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>
              <w:rPr/>
              <w:t>Лексико-граматичні компетенції.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/>
              <w:t xml:space="preserve"> 3</w:t>
            </w:r>
            <w:r>
              <w:rPr>
                <w:lang w:val="uk-UA"/>
              </w:rPr>
              <w:t xml:space="preserve">. </w:t>
            </w:r>
            <w:r>
              <w:rPr/>
              <w:t>Робота над текстом. Читання та аудіювання.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>
              <w:rPr/>
              <w:t>Розвиток комунікативно-мовленнєвої діяльності.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>
              <w:rPr/>
              <w:t>Соціокультурний аспект. Розвиток умінь і навичок.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– зм. модуль 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</w:rPr>
              <w:t>Усього годин</w:t>
            </w:r>
            <w:r>
              <w:rPr>
                <w:b/>
                <w:lang w:val="uk-UA"/>
              </w:rPr>
              <w:t xml:space="preserve"> за 5 семестр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</w:tr>
      <w:tr>
        <w:trPr>
          <w:cantSplit w:val="true"/>
        </w:trPr>
        <w:tc>
          <w:tcPr>
            <w:tcW w:w="10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sz w:val="28"/>
                <w:szCs w:val="28"/>
                <w:u w:val="single"/>
              </w:rPr>
              <w:t>6-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й семестр</w:t>
            </w:r>
          </w:p>
        </w:tc>
      </w:tr>
      <w:tr>
        <w:trPr>
          <w:cantSplit w:val="true"/>
        </w:trPr>
        <w:tc>
          <w:tcPr>
            <w:tcW w:w="10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3</w:t>
            </w:r>
          </w:p>
        </w:tc>
      </w:tr>
      <w:tr>
        <w:trPr>
          <w:cantSplit w:val="true"/>
        </w:trPr>
        <w:tc>
          <w:tcPr>
            <w:tcW w:w="10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  <w:lang w:val="en-US"/>
              </w:rPr>
              <w:t xml:space="preserve">3. </w:t>
            </w:r>
            <w:r>
              <w:rPr>
                <w:b/>
              </w:rPr>
              <w:t>Професійно-освітня сфера</w:t>
            </w:r>
            <w:r>
              <w:rPr/>
              <w:t>.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>
              <w:rPr/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>
              <w:rPr/>
              <w:t>Лексико-граматичні компетенції.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/>
              <w:t xml:space="preserve"> 3</w:t>
            </w:r>
            <w:r>
              <w:rPr>
                <w:lang w:val="uk-UA"/>
              </w:rPr>
              <w:t xml:space="preserve">. </w:t>
            </w:r>
            <w:r>
              <w:rPr/>
              <w:t>Робота над текстом. Читання та аудіювання.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>
              <w:rPr/>
              <w:t>Розвиток комунікативно-мовленнєвої діяльності.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>
              <w:rPr/>
              <w:t>Соціокультурний аспект. Розвиток умінь і навичок.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– зм. модуль 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>
        <w:trPr>
          <w:cantSplit w:val="true"/>
        </w:trPr>
        <w:tc>
          <w:tcPr>
            <w:tcW w:w="10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4</w:t>
            </w:r>
          </w:p>
        </w:tc>
      </w:tr>
      <w:tr>
        <w:trPr>
          <w:cantSplit w:val="true"/>
        </w:trPr>
        <w:tc>
          <w:tcPr>
            <w:tcW w:w="10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Мистецько-культурна сфера</w:t>
            </w:r>
            <w:r>
              <w:rPr/>
              <w:t>.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>
              <w:rPr/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>
              <w:rPr/>
              <w:t>Лексико-граматичні компетенції.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/>
              <w:t xml:space="preserve"> 3</w:t>
            </w:r>
            <w:r>
              <w:rPr>
                <w:lang w:val="uk-UA"/>
              </w:rPr>
              <w:t xml:space="preserve">. </w:t>
            </w:r>
            <w:r>
              <w:rPr/>
              <w:t>Робота над текстом. Читання та аудіювання.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>
              <w:rPr/>
              <w:t>Розвиток комунікативно-мовленнєвої діяльності.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>
              <w:rPr/>
              <w:t>Соціокультурний аспект. Розвиток умінь і навичок.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– зм. модуль 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>
        <w:trPr>
          <w:trHeight w:val="349" w:hRule="atLeast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4"/>
              <w:numPr>
                <w:ilvl w:val="3"/>
                <w:numId w:val="1"/>
              </w:numPr>
              <w:spacing w:before="24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годин</w:t>
            </w:r>
            <w:r>
              <w:rPr>
                <w:sz w:val="24"/>
                <w:szCs w:val="24"/>
                <w:lang w:val="uk-UA"/>
              </w:rPr>
              <w:t xml:space="preserve"> за 6 семестр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</w:p>
        </w:tc>
      </w:tr>
      <w:tr>
        <w:trPr>
          <w:trHeight w:val="349" w:hRule="atLeast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4"/>
              <w:numPr>
                <w:ilvl w:val="3"/>
                <w:numId w:val="1"/>
              </w:numPr>
              <w:spacing w:before="24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270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176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</w:p>
        </w:tc>
      </w:tr>
    </w:tbl>
    <w:p>
      <w:pPr>
        <w:pStyle w:val="Normal"/>
        <w:widowControl w:val="false"/>
        <w:rPr>
          <w:lang w:val="en-US"/>
        </w:rPr>
      </w:pPr>
      <w:r>
        <w:rPr>
          <w:lang w:val="en-US"/>
        </w:rPr>
      </w:r>
    </w:p>
    <w:p>
      <w:pPr>
        <w:pStyle w:val="Normal"/>
        <w:ind w:firstLine="708"/>
        <w:jc w:val="center"/>
        <w:rPr/>
      </w:pPr>
      <w:r>
        <w:rPr>
          <w:b/>
          <w:bCs/>
          <w:i/>
          <w:sz w:val="32"/>
          <w:szCs w:val="32"/>
          <w:lang w:val="uk-UA"/>
        </w:rPr>
        <w:t>5</w:t>
      </w:r>
      <w:r>
        <w:rPr/>
        <w:t>. Теми практичних  занять</w:t>
      </w:r>
    </w:p>
    <w:tbl>
      <w:tblPr>
        <w:tblW w:w="10450" w:type="dxa"/>
        <w:jc w:val="left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71"/>
        <w:gridCol w:w="7087"/>
        <w:gridCol w:w="1792"/>
      </w:tblGrid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Розвиток фонетичних та орфографічних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 компетенції.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 комунікативно-мовленнєвої діяльності.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Розвиток фонетичних та орфографічних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 компетенції.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 комунікативно-мовленнєвої діяльності.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Розвиток фонетичних та орфографічних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 компетенції.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 комунікативно-мовленнєвої діяльності.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Розвиток фонетичних та орфографічних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 компетенції.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 комунікативно-мовленнєвої діяльності.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176</w:t>
            </w:r>
          </w:p>
        </w:tc>
      </w:tr>
    </w:tbl>
    <w:p>
      <w:pPr>
        <w:pStyle w:val="Normal"/>
        <w:ind w:left="7513" w:hanging="425"/>
        <w:rPr>
          <w:lang w:val="uk-UA"/>
        </w:rPr>
      </w:pPr>
      <w:r>
        <w:rPr>
          <w:lang w:val="uk-UA"/>
        </w:rPr>
      </w:r>
    </w:p>
    <w:p>
      <w:pPr>
        <w:pStyle w:val="Normal"/>
        <w:ind w:left="7513" w:hanging="6946"/>
        <w:rPr>
          <w:lang w:val="es-ES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>
      <w:pPr>
        <w:pStyle w:val="Normal"/>
        <w:ind w:firstLine="708"/>
        <w:jc w:val="center"/>
        <w:rPr/>
      </w:pPr>
      <w:r>
        <w:rPr>
          <w:b/>
          <w:bCs/>
          <w:i/>
          <w:sz w:val="32"/>
          <w:szCs w:val="32"/>
          <w:lang w:val="uk-UA"/>
        </w:rPr>
        <w:t>6. Самостійна  робота</w:t>
      </w:r>
    </w:p>
    <w:p>
      <w:pPr>
        <w:pStyle w:val="Normal"/>
        <w:ind w:left="7513" w:hanging="6946"/>
        <w:jc w:val="center"/>
        <w:rPr>
          <w:b/>
          <w:b/>
          <w:bCs/>
          <w:i/>
          <w:i/>
          <w:sz w:val="32"/>
          <w:szCs w:val="28"/>
          <w:lang w:val="uk-UA"/>
        </w:rPr>
      </w:pPr>
      <w:r>
        <w:rPr>
          <w:b/>
          <w:bCs/>
          <w:i/>
          <w:sz w:val="32"/>
          <w:szCs w:val="28"/>
          <w:lang w:val="uk-UA"/>
        </w:rPr>
      </w:r>
    </w:p>
    <w:tbl>
      <w:tblPr>
        <w:tblW w:w="10450" w:type="dxa"/>
        <w:jc w:val="left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71"/>
        <w:gridCol w:w="7087"/>
        <w:gridCol w:w="1792"/>
      </w:tblGrid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Розвиток фонетичних та орфографічних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 компетенції.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 комунікативно-мовленнєвої діяльності.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Розвиток фонетичних та орфографічних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 компетенції.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 комунікативно-мовленнєвої діяльності.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Розвиток фонетичних та орфографічних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 компетенції.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 комунікативно-мовленнєвої діяльності.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Розвиток фонетичних та орфографічних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 компетенції.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19.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 комунікативно-мовленнєвої діяльності.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 умінь і навичок.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</w:p>
        </w:tc>
      </w:tr>
    </w:tbl>
    <w:p>
      <w:pPr>
        <w:pStyle w:val="Normal"/>
        <w:ind w:firstLine="708"/>
        <w:jc w:val="center"/>
        <w:rPr/>
      </w:pPr>
      <w:r>
        <w:rPr>
          <w:b/>
          <w:bCs/>
          <w:i/>
          <w:sz w:val="32"/>
          <w:szCs w:val="32"/>
          <w:lang w:val="uk-UA"/>
        </w:rPr>
        <w:t>7. Методи контролю</w:t>
      </w:r>
    </w:p>
    <w:p>
      <w:pPr>
        <w:pStyle w:val="Normal"/>
        <w:ind w:left="142" w:firstLine="567"/>
        <w:jc w:val="center"/>
        <w:rPr>
          <w:b/>
          <w:b/>
          <w:bCs/>
          <w:i/>
          <w:i/>
          <w:sz w:val="32"/>
          <w:szCs w:val="28"/>
          <w:lang w:val="uk-UA"/>
        </w:rPr>
      </w:pPr>
      <w:r>
        <w:rPr>
          <w:b/>
          <w:bCs/>
          <w:i/>
          <w:sz w:val="32"/>
          <w:szCs w:val="28"/>
          <w:lang w:val="uk-UA"/>
        </w:rPr>
      </w:r>
    </w:p>
    <w:p>
      <w:pPr>
        <w:pStyle w:val="1"/>
        <w:numPr>
          <w:ilvl w:val="0"/>
          <w:numId w:val="1"/>
        </w:numPr>
        <w:ind w:firstLine="708"/>
        <w:rPr/>
      </w:pPr>
      <w:r>
        <w:rPr/>
        <w:t>Поточне оцінювання всіх видів навчальної діяльності студента здійснюється в національній 4-бальній системі (“5”, “4”, “3”, “2”).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1001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8"/>
        <w:gridCol w:w="1980"/>
        <w:gridCol w:w="540"/>
        <w:gridCol w:w="7030"/>
      </w:tblGrid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</w:tr>
      <w:tr>
        <w:trPr>
          <w:trHeight w:val="1797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Аудиторна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>
              <w:rPr>
                <w:sz w:val="23"/>
                <w:szCs w:val="23"/>
              </w:rPr>
              <w:t xml:space="preserve">: рівень розуміння мовлення – 90-100%. </w:t>
            </w:r>
            <w:r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>
              <w:rPr>
                <w:sz w:val="23"/>
                <w:szCs w:val="23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відповідність обсягу висловлювання вимогам програми. </w:t>
            </w:r>
            <w:r>
              <w:rPr>
                <w:i/>
                <w:sz w:val="23"/>
                <w:szCs w:val="23"/>
              </w:rPr>
              <w:t>Переклад</w:t>
            </w:r>
            <w:r>
              <w:rPr>
                <w:sz w:val="23"/>
                <w:szCs w:val="23"/>
              </w:rPr>
              <w:t>: адекватний усний та письмовий переклад на рівні речення і тексту</w:t>
            </w:r>
            <w:r>
              <w:rPr>
                <w:i/>
                <w:sz w:val="23"/>
                <w:szCs w:val="23"/>
              </w:rPr>
              <w:t>. Володіння фонетичним, лексичним і граматичним матеріалом</w:t>
            </w:r>
            <w:r>
              <w:rPr>
                <w:sz w:val="23"/>
                <w:szCs w:val="23"/>
              </w:rPr>
              <w:t xml:space="preserve"> курсу в повному обсязі (90-100%).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>
              <w:rPr>
                <w:sz w:val="23"/>
                <w:szCs w:val="23"/>
              </w:rPr>
              <w:t xml:space="preserve">: рівень розуміння мовлення – 75-89%. </w:t>
            </w:r>
            <w:r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>
              <w:rPr>
                <w:sz w:val="23"/>
                <w:szCs w:val="23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дещо менший обсяг висловлювання. </w:t>
            </w:r>
            <w:r>
              <w:rPr>
                <w:i/>
                <w:sz w:val="23"/>
                <w:szCs w:val="23"/>
              </w:rPr>
              <w:t>Переклад</w:t>
            </w:r>
            <w:r>
              <w:rPr>
                <w:sz w:val="23"/>
                <w:szCs w:val="23"/>
              </w:rPr>
              <w:t xml:space="preserve">: адекватний усний та письмовий переклад на рівні речення і тексту. </w:t>
            </w:r>
            <w:r>
              <w:rPr>
                <w:i/>
                <w:sz w:val="23"/>
                <w:szCs w:val="23"/>
              </w:rPr>
              <w:t>Володіння фонетичним, лексичним і граматичним матеріалом</w:t>
            </w:r>
            <w:r>
              <w:rPr>
                <w:sz w:val="23"/>
                <w:szCs w:val="23"/>
              </w:rPr>
              <w:t xml:space="preserve"> курсу в повному обсязі 75-89%; наявність мовних помилок (3-5 на 1,5-2 ст. у писемному та 3-5 в усному мовленні.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i/>
                <w:sz w:val="23"/>
                <w:szCs w:val="23"/>
              </w:rPr>
              <w:t xml:space="preserve">Рецептивні види мовленнєвої діяльності </w:t>
            </w:r>
            <w:r>
              <w:rPr>
                <w:sz w:val="23"/>
                <w:szCs w:val="23"/>
              </w:rPr>
              <w:t xml:space="preserve">(читання): рівень розуміння мовлення – 50-74%. </w:t>
            </w:r>
            <w:r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>
              <w:rPr>
                <w:sz w:val="23"/>
                <w:szCs w:val="23"/>
              </w:rPr>
              <w:t xml:space="preserve">: відповідність висловлювання темі та логічна побудова висловлювання, але неповне розкриття теми й вживаність одноманітних мовних засобів, мінімально достатній обсяг висловлювання вимогам програми. Темп мовлення та швидкість реакцій сповільнені. </w:t>
            </w:r>
            <w:r>
              <w:rPr>
                <w:i/>
                <w:sz w:val="23"/>
                <w:szCs w:val="23"/>
              </w:rPr>
              <w:t>Переклад</w:t>
            </w:r>
            <w:r>
              <w:rPr>
                <w:sz w:val="23"/>
                <w:szCs w:val="23"/>
              </w:rPr>
              <w:t xml:space="preserve">: некоректне вживання лексико-граматичних і фонетичних одиниць та структур, неповна відповідність змісту вихідного тексту і його перекладу. </w:t>
            </w:r>
            <w:r>
              <w:rPr>
                <w:i/>
                <w:sz w:val="23"/>
                <w:szCs w:val="23"/>
              </w:rPr>
              <w:t>Володіння фонетичним, лексичним і граматичним матеріалом</w:t>
            </w:r>
            <w:r>
              <w:rPr>
                <w:sz w:val="23"/>
                <w:szCs w:val="23"/>
              </w:rPr>
              <w:t xml:space="preserve"> курсу в повному обсязі 50-74%; наявність мовних помилок.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>
              <w:rPr>
                <w:sz w:val="23"/>
                <w:szCs w:val="23"/>
              </w:rPr>
              <w:t>: рівень розуміння мовлення – нижче 50</w:t>
            </w:r>
            <w:r>
              <w:rPr>
                <w:i/>
                <w:sz w:val="23"/>
                <w:szCs w:val="23"/>
              </w:rPr>
              <w:t>%. Продуктивні види мовленнєвої діяльності (говоріння та письмо)</w:t>
            </w:r>
            <w:r>
              <w:rPr>
                <w:sz w:val="23"/>
                <w:szCs w:val="23"/>
              </w:rPr>
              <w:t xml:space="preserve">: неповна відповідність висловлювання темі; відсутність логічності в побудові мовлення; нерозкриття теми; обмеженість уживаності мовних засобів, обсяг висловлювання недостатній. </w:t>
            </w:r>
            <w:r>
              <w:rPr>
                <w:i/>
                <w:sz w:val="23"/>
                <w:szCs w:val="23"/>
              </w:rPr>
              <w:t>Переклад</w:t>
            </w:r>
            <w:r>
              <w:rPr>
                <w:sz w:val="23"/>
                <w:szCs w:val="23"/>
              </w:rPr>
              <w:t>: неадекватність перекладу й невідповідність вихідного тексту і його перекладу. Темп мовлення та швидкість реакції сповільнені</w:t>
            </w:r>
            <w:r>
              <w:rPr>
                <w:i/>
                <w:sz w:val="23"/>
                <w:szCs w:val="23"/>
              </w:rPr>
              <w:t>. Володіння фонетичним, лексичним і граматичним матеріалом</w:t>
            </w:r>
            <w:r>
              <w:rPr>
                <w:sz w:val="23"/>
                <w:szCs w:val="23"/>
              </w:rPr>
              <w:t xml:space="preserve"> курсу в обсязі нижче 50%; наявність значної кількості мовних помилок.</w:t>
            </w:r>
          </w:p>
        </w:tc>
      </w:tr>
      <w:tr>
        <w:trPr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90-100% виконаних робіт </w:t>
            </w:r>
          </w:p>
        </w:tc>
      </w:tr>
      <w:tr>
        <w:trPr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75-89% виконаних робіт</w:t>
            </w:r>
          </w:p>
        </w:tc>
      </w:tr>
      <w:tr>
        <w:trPr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50-74% виконаних робіт</w:t>
            </w:r>
          </w:p>
        </w:tc>
      </w:tr>
      <w:tr>
        <w:trPr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Менше 50% виконаних робіт</w:t>
            </w:r>
          </w:p>
        </w:tc>
      </w:tr>
      <w:tr>
        <w:trPr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90-100% виконання усіх розділів модульної контрольної роботи</w:t>
            </w:r>
          </w:p>
        </w:tc>
      </w:tr>
      <w:tr>
        <w:trPr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75-89% виконання усіх розділів модульної контрольної роботи</w:t>
            </w:r>
          </w:p>
        </w:tc>
      </w:tr>
      <w:tr>
        <w:trPr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50-74% виконання усіх розділів модульної контрольної роботи</w:t>
            </w:r>
          </w:p>
        </w:tc>
      </w:tr>
      <w:tr>
        <w:trPr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Менше 50% виконання усіх розділів модульної контрольної роботи</w:t>
            </w:r>
          </w:p>
        </w:tc>
      </w:tr>
    </w:tbl>
    <w:p>
      <w:pPr>
        <w:pStyle w:val="Normal"/>
        <w:rPr>
          <w:b/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</w:t>
      </w:r>
    </w:p>
    <w:p>
      <w:pPr>
        <w:pStyle w:val="Normal"/>
        <w:ind w:firstLine="708"/>
        <w:jc w:val="center"/>
        <w:rPr/>
      </w:pPr>
      <w:r>
        <w:rPr>
          <w:b/>
          <w:bCs/>
          <w:i/>
          <w:sz w:val="32"/>
          <w:szCs w:val="32"/>
          <w:lang w:val="uk-UA"/>
        </w:rPr>
        <w:t>8. Розподіл балів, що присвоюється студентам</w:t>
      </w:r>
    </w:p>
    <w:p>
      <w:pPr>
        <w:pStyle w:val="7"/>
        <w:numPr>
          <w:ilvl w:val="6"/>
          <w:numId w:val="1"/>
        </w:numPr>
        <w:jc w:val="center"/>
        <w:rPr/>
      </w:pPr>
      <w:r>
        <w:rPr>
          <w:b/>
          <w:i/>
        </w:rPr>
        <w:t xml:space="preserve">Приклад розподілу балів, які отримують студенти (для </w:t>
      </w:r>
      <w:r>
        <w:rPr>
          <w:b/>
          <w:i/>
          <w:lang w:val="uk-UA"/>
        </w:rPr>
        <w:t>заліку</w:t>
      </w:r>
      <w:r>
        <w:rPr/>
        <w:t>)</w:t>
      </w:r>
    </w:p>
    <w:tbl>
      <w:tblPr>
        <w:tblW w:w="49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534"/>
        <w:gridCol w:w="517"/>
        <w:gridCol w:w="573"/>
        <w:gridCol w:w="684"/>
        <w:gridCol w:w="712"/>
        <w:gridCol w:w="887"/>
        <w:gridCol w:w="776"/>
        <w:gridCol w:w="757"/>
        <w:gridCol w:w="710"/>
        <w:gridCol w:w="776"/>
        <w:gridCol w:w="1425"/>
        <w:gridCol w:w="816"/>
      </w:tblGrid>
      <w:tr>
        <w:trPr>
          <w:cantSplit w:val="true"/>
        </w:trPr>
        <w:tc>
          <w:tcPr>
            <w:tcW w:w="6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Поточне тестування та самостійна робота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тест (екзамен)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Сума</w:t>
            </w:r>
          </w:p>
        </w:tc>
      </w:tr>
      <w:tr>
        <w:trPr>
          <w:cantSplit w:val="true"/>
        </w:trPr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 xml:space="preserve">Змістовий модуль </w:t>
            </w:r>
            <w:r>
              <w:rPr>
                <w:lang w:val="uk-UA"/>
              </w:rPr>
              <w:t>1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 xml:space="preserve">Змістовий модуль </w:t>
            </w:r>
            <w:r>
              <w:rPr>
                <w:lang w:val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</w:t>
            </w:r>
            <w:r>
              <w:rPr>
                <w:lang w:val="uk-UA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</w:t>
            </w:r>
            <w:r>
              <w:rPr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</w:t>
            </w:r>
            <w:r>
              <w:rPr>
                <w:lang w:val="uk-UA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5</w:t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600"/>
        <w:rPr/>
      </w:pPr>
      <w:r>
        <w:rPr/>
        <w:t>Т1, Т2 ... Т</w:t>
      </w:r>
      <w:r>
        <w:rPr>
          <w:lang w:val="uk-UA"/>
        </w:rPr>
        <w:t>5</w:t>
      </w:r>
      <w:r>
        <w:rPr/>
        <w:t xml:space="preserve"> – теми змістових модулів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firstLine="600"/>
        <w:jc w:val="center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Style16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Оцінювання знань студента здійснюється за 100-бальною шкалою (для екзаменів і заліків).</w:t>
      </w:r>
    </w:p>
    <w:p>
      <w:pPr>
        <w:pStyle w:val="Normal"/>
        <w:numPr>
          <w:ilvl w:val="0"/>
          <w:numId w:val="6"/>
        </w:numPr>
        <w:tabs>
          <w:tab w:val="left" w:pos="1800" w:leader="none"/>
        </w:tabs>
        <w:spacing w:lineRule="auto" w:line="360"/>
        <w:ind w:left="1800" w:hanging="36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>
      <w:pPr>
        <w:pStyle w:val="Normal"/>
        <w:numPr>
          <w:ilvl w:val="0"/>
          <w:numId w:val="6"/>
        </w:numPr>
        <w:tabs>
          <w:tab w:val="left" w:pos="1800" w:leader="none"/>
        </w:tabs>
        <w:spacing w:lineRule="auto" w:line="360"/>
        <w:ind w:left="1800" w:hanging="36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>
      <w:pPr>
        <w:pStyle w:val="Normal"/>
        <w:spacing w:lineRule="auto" w: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 , національна та ECTS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tbl>
      <w:tblPr>
        <w:tblW w:w="9460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78"/>
        <w:gridCol w:w="1305"/>
        <w:gridCol w:w="1585"/>
        <w:gridCol w:w="3563"/>
        <w:gridCol w:w="1529"/>
      </w:tblGrid>
      <w:tr>
        <w:trPr>
          <w:trHeight w:val="435" w:hRule="atLeast"/>
          <w:cantSplit w:val="true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Визначення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За національною шкалою</w:t>
            </w:r>
          </w:p>
        </w:tc>
      </w:tr>
      <w:tr>
        <w:trPr>
          <w:trHeight w:val="450" w:hRule="atLeast"/>
          <w:cantSplit w:val="true"/>
        </w:trPr>
        <w:tc>
          <w:tcPr>
            <w:tcW w:w="1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</w:r>
          </w:p>
        </w:tc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Залік</w:t>
            </w:r>
          </w:p>
        </w:tc>
      </w:tr>
      <w:tr>
        <w:trPr>
          <w:cantSplit w:val="true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numPr>
                <w:ilvl w:val="2"/>
                <w:numId w:val="1"/>
              </w:numPr>
              <w:spacing w:before="240" w:after="6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numPr>
                <w:ilvl w:val="2"/>
                <w:numId w:val="1"/>
              </w:numPr>
              <w:spacing w:before="240" w:after="6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i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</w:r>
          </w:p>
          <w:p>
            <w:pPr>
              <w:pStyle w:val="3"/>
              <w:numPr>
                <w:ilvl w:val="2"/>
                <w:numId w:val="1"/>
              </w:numPr>
              <w:spacing w:before="240" w:after="6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Зараховано</w:t>
            </w:r>
          </w:p>
        </w:tc>
      </w:tr>
      <w:tr>
        <w:trPr>
          <w:trHeight w:val="194" w:hRule="atLeast"/>
          <w:cantSplit w:val="true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1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</w:r>
          </w:p>
        </w:tc>
      </w:tr>
      <w:tr>
        <w:trPr>
          <w:cantSplit w:val="true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</w:r>
          </w:p>
        </w:tc>
        <w:tc>
          <w:tcPr>
            <w:tcW w:w="1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</w:r>
          </w:p>
        </w:tc>
      </w:tr>
      <w:tr>
        <w:trPr>
          <w:cantSplit w:val="true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61-70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1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</w:r>
          </w:p>
        </w:tc>
      </w:tr>
      <w:tr>
        <w:trPr>
          <w:cantSplit w:val="true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51-60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Достатньо</w:t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</w:r>
          </w:p>
        </w:tc>
        <w:tc>
          <w:tcPr>
            <w:tcW w:w="1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</w:r>
          </w:p>
        </w:tc>
      </w:tr>
      <w:tr>
        <w:trPr>
          <w:cantSplit w:val="true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/>
            </w:pPr>
            <w:r>
              <w:rPr>
                <w:b/>
                <w:sz w:val="20"/>
                <w:szCs w:val="20"/>
                <w:lang w:val="uk-UA"/>
              </w:rPr>
              <w:t>31</w:t>
            </w:r>
            <w:r>
              <w:rPr>
                <w:b/>
                <w:sz w:val="20"/>
                <w:szCs w:val="20"/>
                <w:lang w:val="en-US"/>
              </w:rPr>
              <w:t>-50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FX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>
            <w:pPr>
              <w:pStyle w:val="Normal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(можливе повторне складання за талоном №2)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Незараховано</w:t>
            </w:r>
          </w:p>
        </w:tc>
      </w:tr>
      <w:tr>
        <w:trPr>
          <w:cantSplit w:val="true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(обов’язкове  повторне вивчення курсу, якщо отримано оцінку «Незадовільно» за талоном «К»)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Незараховано</w:t>
            </w:r>
          </w:p>
        </w:tc>
      </w:tr>
    </w:tbl>
    <w:p>
      <w:pPr>
        <w:pStyle w:val="Normal"/>
        <w:shd w:fill="FFFFFF" w:val="clea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9. Методичне забезпечення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bCs/>
          <w:lang w:val="uk-UA"/>
        </w:rPr>
        <w:t xml:space="preserve"> </w:t>
      </w:r>
      <w:r>
        <w:rPr>
          <w:lang w:val="uk-UA"/>
        </w:rPr>
        <w:t xml:space="preserve">Граматика іспанської мови у вправах </w:t>
      </w:r>
      <w:r>
        <w:rPr>
          <w:b/>
          <w:lang w:val="uk-UA"/>
        </w:rPr>
        <w:t xml:space="preserve">= </w:t>
      </w:r>
      <w:r>
        <w:rPr>
          <w:lang w:val="en-US"/>
        </w:rPr>
        <w:t>Gram</w:t>
      </w:r>
      <w:r>
        <w:rPr>
          <w:lang w:val="uk-UA"/>
        </w:rPr>
        <w:t>á</w:t>
      </w:r>
      <w:r>
        <w:rPr>
          <w:lang w:val="en-US"/>
        </w:rPr>
        <w:t>tica</w:t>
      </w:r>
      <w:r>
        <w:rPr>
          <w:lang w:val="uk-UA"/>
        </w:rPr>
        <w:t xml:space="preserve"> </w:t>
      </w:r>
      <w:r>
        <w:rPr>
          <w:lang w:val="en-US"/>
        </w:rPr>
        <w:t>espa</w:t>
      </w:r>
      <w:r>
        <w:rPr>
          <w:lang w:val="uk-UA"/>
        </w:rPr>
        <w:t>ñ</w:t>
      </w:r>
      <w:r>
        <w:rPr>
          <w:lang w:val="en-US"/>
        </w:rPr>
        <w:t>ola</w:t>
      </w:r>
      <w:r>
        <w:rPr>
          <w:lang w:val="uk-UA"/>
        </w:rPr>
        <w:t xml:space="preserve"> </w:t>
      </w:r>
      <w:r>
        <w:rPr>
          <w:lang w:val="en-US"/>
        </w:rPr>
        <w:t>en</w:t>
      </w:r>
      <w:r>
        <w:rPr>
          <w:lang w:val="uk-UA"/>
        </w:rPr>
        <w:t xml:space="preserve"> </w:t>
      </w:r>
      <w:r>
        <w:rPr>
          <w:lang w:val="en-US"/>
        </w:rPr>
        <w:t>ejercicios</w:t>
      </w:r>
      <w:r>
        <w:rPr>
          <w:lang w:val="uk-UA"/>
        </w:rPr>
        <w:t xml:space="preserve"> :</w:t>
      </w:r>
      <w:r>
        <w:rPr>
          <w:b/>
          <w:lang w:val="uk-UA"/>
        </w:rPr>
        <w:t xml:space="preserve"> </w:t>
      </w:r>
      <w:r>
        <w:rPr>
          <w:lang w:val="uk-UA"/>
        </w:rPr>
        <w:t>навч. посібник / Роман Помірко, Оксана Кушнір, Іванна Хомицька. – 2-ге вид., випр. і допов. – Львів : ЛНУ імені Івана Франка, 2015. – 358 с.</w:t>
      </w:r>
    </w:p>
    <w:p>
      <w:pPr>
        <w:pStyle w:val="Normal"/>
        <w:numPr>
          <w:ilvl w:val="0"/>
          <w:numId w:val="4"/>
        </w:numPr>
        <w:shd w:fill="FFFFFF" w:val="clear"/>
        <w:jc w:val="both"/>
        <w:rPr/>
      </w:pPr>
      <w:r>
        <w:rPr>
          <w:lang w:val="es-ES"/>
        </w:rPr>
        <w:t>Marta Baralo, Marta Genís, Mª Eugenia Santana  En vocabulario</w:t>
      </w:r>
      <w:r>
        <w:rPr>
          <w:lang w:val="uk-UA"/>
        </w:rPr>
        <w:t xml:space="preserve"> </w:t>
      </w:r>
      <w:r>
        <w:rPr/>
        <w:t>В</w:t>
      </w:r>
      <w:r>
        <w:rPr>
          <w:lang w:val="es-ES"/>
        </w:rPr>
        <w:t xml:space="preserve">1. 1.800 </w:t>
      </w:r>
      <w:r>
        <w:rPr/>
        <w:t>ра</w:t>
      </w:r>
      <w:r>
        <w:rPr>
          <w:lang w:val="es-ES"/>
        </w:rPr>
        <w:t>labras y expresiones útiles. – España : Grupo Anaya, S.A., 2008.</w:t>
      </w:r>
    </w:p>
    <w:p>
      <w:pPr>
        <w:pStyle w:val="Normal"/>
        <w:numPr>
          <w:ilvl w:val="0"/>
          <w:numId w:val="4"/>
        </w:numPr>
        <w:shd w:fill="FFFFFF" w:val="clear"/>
        <w:jc w:val="both"/>
        <w:rPr>
          <w:lang w:val="es-ES"/>
        </w:rPr>
      </w:pPr>
      <w:r>
        <w:rPr>
          <w:lang w:val="es-ES"/>
        </w:rPr>
        <w:t>En Uso: ejercicios de gramática. B1. Madrid: Edelsa, 2008. – 158 p.</w:t>
      </w:r>
    </w:p>
    <w:p>
      <w:pPr>
        <w:pStyle w:val="Normal"/>
        <w:numPr>
          <w:ilvl w:val="0"/>
          <w:numId w:val="4"/>
        </w:numPr>
        <w:shd w:fill="FFFFFF" w:val="clear"/>
        <w:jc w:val="both"/>
        <w:rPr/>
      </w:pPr>
      <w:r>
        <w:rPr>
          <w:lang w:val="es-ES"/>
        </w:rPr>
        <w:t xml:space="preserve">Paula Gonzalo. Los tiempos del pasado del indicativo. </w:t>
      </w:r>
      <w:r>
        <w:rPr>
          <w:lang w:val="en-US"/>
        </w:rPr>
        <w:t xml:space="preserve">Madrid. 2000. </w:t>
      </w:r>
    </w:p>
    <w:p>
      <w:pPr>
        <w:pStyle w:val="Normal"/>
        <w:ind w:firstLine="708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i/>
          <w:i/>
          <w:lang w:val="uk-UA"/>
        </w:rPr>
      </w:pPr>
      <w:r>
        <w:rPr>
          <w:b/>
          <w:bCs/>
          <w:i/>
          <w:lang w:val="uk-UA"/>
        </w:rPr>
      </w:r>
    </w:p>
    <w:p>
      <w:pPr>
        <w:pStyle w:val="Normal"/>
        <w:ind w:firstLine="708"/>
        <w:jc w:val="center"/>
        <w:rPr/>
      </w:pPr>
      <w:r>
        <w:rPr>
          <w:b/>
          <w:bCs/>
          <w:i/>
          <w:lang w:val="uk-UA"/>
        </w:rPr>
        <w:t>10. Рекомендована література</w:t>
      </w:r>
    </w:p>
    <w:p>
      <w:pPr>
        <w:pStyle w:val="Normal"/>
        <w:shd w:fill="FFFFFF" w:val="clear"/>
        <w:jc w:val="center"/>
        <w:rPr>
          <w:b/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/>
      </w:pPr>
      <w:r>
        <w:rPr>
          <w:lang w:val="uk-UA"/>
        </w:rPr>
        <w:t xml:space="preserve">Граматика іспанської мови у вправах </w:t>
      </w:r>
      <w:r>
        <w:rPr>
          <w:b/>
          <w:lang w:val="uk-UA"/>
        </w:rPr>
        <w:t xml:space="preserve">= </w:t>
      </w:r>
      <w:r>
        <w:rPr>
          <w:lang w:val="en-US"/>
        </w:rPr>
        <w:t>Gram</w:t>
      </w:r>
      <w:r>
        <w:rPr>
          <w:lang w:val="uk-UA"/>
        </w:rPr>
        <w:t>á</w:t>
      </w:r>
      <w:r>
        <w:rPr>
          <w:lang w:val="en-US"/>
        </w:rPr>
        <w:t>tica</w:t>
      </w:r>
      <w:r>
        <w:rPr>
          <w:lang w:val="uk-UA"/>
        </w:rPr>
        <w:t xml:space="preserve"> </w:t>
      </w:r>
      <w:r>
        <w:rPr>
          <w:lang w:val="en-US"/>
        </w:rPr>
        <w:t>espa</w:t>
      </w:r>
      <w:r>
        <w:rPr>
          <w:lang w:val="uk-UA"/>
        </w:rPr>
        <w:t>ñ</w:t>
      </w:r>
      <w:r>
        <w:rPr>
          <w:lang w:val="en-US"/>
        </w:rPr>
        <w:t>ola</w:t>
      </w:r>
      <w:r>
        <w:rPr>
          <w:lang w:val="uk-UA"/>
        </w:rPr>
        <w:t xml:space="preserve"> </w:t>
      </w:r>
      <w:r>
        <w:rPr>
          <w:lang w:val="en-US"/>
        </w:rPr>
        <w:t>en</w:t>
      </w:r>
      <w:r>
        <w:rPr>
          <w:lang w:val="uk-UA"/>
        </w:rPr>
        <w:t xml:space="preserve"> </w:t>
      </w:r>
      <w:r>
        <w:rPr>
          <w:lang w:val="en-US"/>
        </w:rPr>
        <w:t>ejercicios</w:t>
      </w:r>
      <w:r>
        <w:rPr>
          <w:lang w:val="uk-UA"/>
        </w:rPr>
        <w:t xml:space="preserve"> :</w:t>
      </w:r>
      <w:r>
        <w:rPr>
          <w:b/>
          <w:lang w:val="uk-UA"/>
        </w:rPr>
        <w:t xml:space="preserve"> </w:t>
      </w:r>
      <w:r>
        <w:rPr>
          <w:lang w:val="uk-UA"/>
        </w:rPr>
        <w:t>навч. посібник / Роман Помірко, Оксана Кушнір, Іванна Хомицька. – 2-ге вид., випр. і допов. – Львів : ЛНУ імені Івана Франка, 2015. – 358 с.</w:t>
      </w:r>
    </w:p>
    <w:p>
      <w:pPr>
        <w:pStyle w:val="Normal"/>
        <w:numPr>
          <w:ilvl w:val="0"/>
          <w:numId w:val="8"/>
        </w:numPr>
        <w:shd w:fill="FFFFFF" w:val="clear"/>
        <w:jc w:val="both"/>
        <w:rPr/>
      </w:pPr>
      <w:r>
        <w:rPr>
          <w:lang w:val="es-ES"/>
        </w:rPr>
        <w:t>Marta Baralo, Marta Genís, Mª Eugenia Santana  En vocabulario</w:t>
      </w:r>
      <w:r>
        <w:rPr>
          <w:lang w:val="uk-UA"/>
        </w:rPr>
        <w:t xml:space="preserve"> </w:t>
      </w:r>
      <w:r>
        <w:rPr/>
        <w:t>В</w:t>
      </w:r>
      <w:r>
        <w:rPr>
          <w:lang w:val="es-ES"/>
        </w:rPr>
        <w:t xml:space="preserve">1. 1.800 </w:t>
      </w:r>
      <w:r>
        <w:rPr/>
        <w:t>ра</w:t>
      </w:r>
      <w:r>
        <w:rPr>
          <w:lang w:val="es-ES"/>
        </w:rPr>
        <w:t>labras y expresiones útiles. – España : Grupo Anaya, S.A., 2008.</w:t>
      </w:r>
    </w:p>
    <w:p>
      <w:pPr>
        <w:pStyle w:val="Normal"/>
        <w:numPr>
          <w:ilvl w:val="0"/>
          <w:numId w:val="8"/>
        </w:numPr>
        <w:shd w:fill="FFFFFF" w:val="clear"/>
        <w:jc w:val="both"/>
        <w:rPr>
          <w:lang w:val="es-ES"/>
        </w:rPr>
      </w:pPr>
      <w:r>
        <w:rPr>
          <w:lang w:val="es-ES"/>
        </w:rPr>
        <w:t>En Uso: ejercicios de gramática. B1. Madrid: Edelsa, 2008. – 158 p.</w:t>
      </w:r>
    </w:p>
    <w:p>
      <w:pPr>
        <w:pStyle w:val="Normal"/>
        <w:numPr>
          <w:ilvl w:val="0"/>
          <w:numId w:val="8"/>
        </w:numPr>
        <w:shd w:fill="FFFFFF" w:val="clear"/>
        <w:jc w:val="both"/>
        <w:rPr/>
      </w:pPr>
      <w:r>
        <w:rPr>
          <w:lang w:val="es-ES"/>
        </w:rPr>
        <w:t xml:space="preserve">Paula Gonzalo. Los tiempos del pasado del indicativo. </w:t>
      </w:r>
      <w:r>
        <w:rPr>
          <w:lang w:val="en-US"/>
        </w:rPr>
        <w:t xml:space="preserve">Madrid. 2000. </w:t>
      </w:r>
    </w:p>
    <w:p>
      <w:pPr>
        <w:pStyle w:val="Normal"/>
        <w:shd w:fill="FFFFFF" w:val="clear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</w:r>
    </w:p>
    <w:p>
      <w:pPr>
        <w:pStyle w:val="Normal"/>
        <w:shd w:fill="FFFFFF" w:val="clear"/>
        <w:jc w:val="center"/>
        <w:rPr>
          <w:b/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</w:r>
    </w:p>
    <w:p>
      <w:pPr>
        <w:pStyle w:val="Normal"/>
        <w:shd w:fill="FFFFFF" w:val="clear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>
      <w:pPr>
        <w:pStyle w:val="Normal"/>
        <w:shd w:fill="FFFFFF" w:val="clear"/>
        <w:tabs>
          <w:tab w:val="left" w:pos="187" w:leader="none"/>
        </w:tabs>
        <w:jc w:val="both"/>
        <w:rPr/>
      </w:pPr>
      <w:r>
        <w:rPr>
          <w:lang w:val="es-ES"/>
        </w:rPr>
        <w:t>1. L. Busquets y L. Bonzi. Ejercicios gramaticales de español (nivel medio y superior)</w:t>
      </w:r>
    </w:p>
    <w:p>
      <w:pPr>
        <w:pStyle w:val="Normal"/>
        <w:shd w:fill="FFFFFF" w:val="clear"/>
        <w:tabs>
          <w:tab w:val="left" w:pos="187" w:leader="none"/>
        </w:tabs>
        <w:jc w:val="both"/>
        <w:rPr/>
      </w:pPr>
      <w:r>
        <w:rPr>
          <w:lang w:val="es-ES"/>
        </w:rPr>
        <w:t xml:space="preserve">2. T. García, P. Montaner. El cronómetro. Manual de preparación del DELE. </w:t>
      </w:r>
      <w:r>
        <w:rPr>
          <w:lang w:val="en-US"/>
        </w:rPr>
        <w:t>Nivel intermedio.</w:t>
      </w:r>
    </w:p>
    <w:p>
      <w:pPr>
        <w:pStyle w:val="Normal"/>
        <w:shd w:fill="FFFFFF" w:val="clear"/>
        <w:tabs>
          <w:tab w:val="left" w:pos="187" w:leader="none"/>
        </w:tabs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bCs/>
          <w:i/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</w:r>
    </w:p>
    <w:p>
      <w:pPr>
        <w:pStyle w:val="Normal"/>
        <w:jc w:val="center"/>
        <w:rPr>
          <w:b/>
          <w:b/>
          <w:bCs/>
          <w:i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Інформаційні ресурси</w:t>
      </w:r>
    </w:p>
    <w:p>
      <w:pPr>
        <w:pStyle w:val="Normal"/>
        <w:shd w:fill="FFFFFF" w:val="clear"/>
        <w:tabs>
          <w:tab w:val="left" w:pos="365" w:leader="none"/>
        </w:tabs>
        <w:spacing w:lineRule="exact" w:line="226" w:before="14" w:after="0"/>
        <w:rPr>
          <w:b/>
          <w:b/>
          <w:bCs/>
          <w:i/>
          <w:i/>
          <w:spacing w:val="-20"/>
          <w:sz w:val="26"/>
          <w:szCs w:val="26"/>
        </w:rPr>
      </w:pPr>
      <w:r>
        <w:rPr>
          <w:b/>
          <w:bCs/>
          <w:i/>
          <w:spacing w:val="-20"/>
          <w:sz w:val="26"/>
          <w:szCs w:val="26"/>
        </w:rPr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left" w:pos="365" w:leader="none"/>
        </w:tabs>
        <w:autoSpaceDE w:val="false"/>
        <w:rPr>
          <w:color w:val="000000"/>
          <w:spacing w:val="-13"/>
        </w:rPr>
      </w:pPr>
      <w:r>
        <w:rPr>
          <w:color w:val="000000"/>
          <w:spacing w:val="-13"/>
          <w:lang w:val="en-US"/>
        </w:rPr>
        <w:t>Películas españolas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left" w:pos="365" w:leader="none"/>
        </w:tabs>
        <w:autoSpaceDE w:val="false"/>
        <w:rPr>
          <w:color w:val="000000"/>
          <w:spacing w:val="-13"/>
        </w:rPr>
      </w:pPr>
      <w:r>
        <w:rPr>
          <w:color w:val="000000"/>
          <w:spacing w:val="-13"/>
          <w:lang w:val="en-US"/>
        </w:rPr>
        <w:t>CD de los manuales.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left" w:pos="365" w:leader="none"/>
        </w:tabs>
        <w:autoSpaceDE w:val="false"/>
        <w:rPr>
          <w:color w:val="000000"/>
          <w:spacing w:val="-13"/>
        </w:rPr>
      </w:pPr>
      <w:r>
        <w:rPr>
          <w:color w:val="000000"/>
          <w:spacing w:val="-13"/>
          <w:lang w:val="en-US"/>
        </w:rPr>
        <w:t>www.cervantesvirtual.es</w:t>
      </w:r>
    </w:p>
    <w:p>
      <w:pPr>
        <w:pStyle w:val="Normal"/>
        <w:jc w:val="center"/>
        <w:rPr>
          <w:b/>
          <w:b/>
          <w:bCs/>
          <w:i/>
          <w:i/>
          <w:color w:val="000000"/>
          <w:spacing w:val="-13"/>
          <w:sz w:val="32"/>
          <w:szCs w:val="32"/>
          <w:lang w:val="uk-UA"/>
        </w:rPr>
      </w:pPr>
      <w:r>
        <w:rPr>
          <w:b/>
          <w:bCs/>
          <w:i/>
          <w:color w:val="000000"/>
          <w:spacing w:val="-13"/>
          <w:sz w:val="32"/>
          <w:szCs w:val="32"/>
          <w:lang w:val="uk-UA"/>
        </w:rPr>
      </w:r>
    </w:p>
    <w:sectPr>
      <w:type w:val="nextPage"/>
      <w:pgSz w:w="11906" w:h="16838"/>
      <w:pgMar w:left="1701" w:right="850" w:header="0" w:top="89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  <w:rFonts w:cs="Symbol"/>
        <w:lang w:val="uk-UA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  <w:rFonts w:cs="Symbol"/>
        <w:lang w:val="uk-U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5"/>
        </w:tabs>
        <w:ind w:left="0" w:hanging="0"/>
      </w:pPr>
      <w:rPr>
        <w:rFonts w:ascii="Times New Roman" w:hAnsi="Times New Roman" w:cs="Times New Roman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uk-U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character" w:styleId="WW8Num1z0">
    <w:name w:val="WW8Num1z0"/>
    <w:qFormat/>
    <w:rPr>
      <w:rFonts w:ascii="Symbol" w:hAnsi="Symbol" w:cs="Symbol"/>
      <w:sz w:val="24"/>
      <w:szCs w:val="24"/>
      <w:lang w:val="uk-UA"/>
    </w:rPr>
  </w:style>
  <w:style w:type="character" w:styleId="WW8Num2z0">
    <w:name w:val="WW8Num2z0"/>
    <w:qFormat/>
    <w:rPr>
      <w:rFonts w:ascii="Symbol" w:hAnsi="Symbol" w:cs="Symbol"/>
      <w:sz w:val="24"/>
      <w:szCs w:val="24"/>
      <w:lang w:val="uk-UA"/>
    </w:rPr>
  </w:style>
  <w:style w:type="character" w:styleId="WW8Num3z0">
    <w:name w:val="WW8Num3z0"/>
    <w:qFormat/>
    <w:rPr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lang w:val="uk-UA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lang w:val="en-US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9">
    <w:name w:val="Шрифт абзацу за промовчанням"/>
    <w:qFormat/>
    <w:rPr/>
  </w:style>
  <w:style w:type="character" w:styleId="Rvts6">
    <w:name w:val="rvts6"/>
    <w:qFormat/>
    <w:rPr>
      <w:rFonts w:ascii="Times New Roman" w:hAnsi="Times New Roman" w:cs="Times New Roman"/>
      <w:spacing w:val="-15"/>
      <w:sz w:val="28"/>
      <w:szCs w:val="28"/>
    </w:rPr>
  </w:style>
  <w:style w:type="character" w:styleId="31">
    <w:name w:val="Основний текст 3 Знак"/>
    <w:qFormat/>
    <w:rPr>
      <w:sz w:val="16"/>
      <w:szCs w:val="16"/>
      <w:lang w:val="ru-RU"/>
    </w:rPr>
  </w:style>
  <w:style w:type="character" w:styleId="Style10">
    <w:name w:val="Нижній колонтитул Знак"/>
    <w:qFormat/>
    <w:rPr>
      <w:sz w:val="24"/>
      <w:szCs w:val="24"/>
      <w:lang w:val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before="0" w:after="120"/>
    </w:pPr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Style16">
    <w:name w:val="Body Text Indent"/>
    <w:basedOn w:val="Normal"/>
    <w:pPr>
      <w:ind w:firstLine="720"/>
    </w:pPr>
    <w:rPr>
      <w:b/>
      <w:bCs/>
      <w:sz w:val="28"/>
      <w:lang w:val="uk-UA"/>
    </w:rPr>
  </w:style>
  <w:style w:type="paragraph" w:styleId="FR2">
    <w:name w:val="FR2"/>
    <w:qFormat/>
    <w:pPr>
      <w:widowControl w:val="false"/>
      <w:autoSpaceDE w:val="false"/>
      <w:spacing w:before="220" w:after="0"/>
      <w:ind w:left="40" w:hanging="20"/>
    </w:pPr>
    <w:rPr>
      <w:rFonts w:ascii="Arial" w:hAnsi="Arial" w:eastAsia="Times New Roman" w:cs="Arial"/>
      <w:color w:val="auto"/>
      <w:sz w:val="18"/>
      <w:szCs w:val="18"/>
      <w:lang w:val="uk-UA" w:bidi="ar-SA" w:eastAsia="zh-CN"/>
    </w:rPr>
  </w:style>
  <w:style w:type="paragraph" w:styleId="32">
    <w:name w:val="Основний текст 3"/>
    <w:basedOn w:val="Normal"/>
    <w:qFormat/>
    <w:pPr>
      <w:spacing w:before="0" w:after="120"/>
    </w:pPr>
    <w:rPr>
      <w:sz w:val="16"/>
      <w:szCs w:val="16"/>
    </w:rPr>
  </w:style>
  <w:style w:type="paragraph" w:styleId="Style17">
    <w:name w:val="Header"/>
    <w:basedOn w:val="Normal"/>
    <w:pPr>
      <w:tabs>
        <w:tab w:val="center" w:pos="4677" w:leader="none"/>
        <w:tab w:val="right" w:pos="9355" w:leader="none"/>
      </w:tabs>
      <w:suppressAutoHyphens w:val="true"/>
    </w:pPr>
    <w:rPr>
      <w:lang w:val="uk-UA"/>
    </w:rPr>
  </w:style>
  <w:style w:type="paragraph" w:styleId="Rvps3">
    <w:name w:val="rvps3"/>
    <w:basedOn w:val="Normal"/>
    <w:qFormat/>
    <w:pPr>
      <w:suppressAutoHyphens w:val="true"/>
      <w:jc w:val="both"/>
    </w:pPr>
    <w:rPr>
      <w:lang w:val="uk-UA"/>
    </w:rPr>
  </w:style>
  <w:style w:type="paragraph" w:styleId="Style18">
    <w:name w:val="Абзац списку"/>
    <w:basedOn w:val="Normal"/>
    <w:qFormat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19">
    <w:name w:val="Текст у виносці"/>
    <w:basedOn w:val="Normal"/>
    <w:qFormat/>
    <w:pPr/>
    <w:rPr>
      <w:rFonts w:ascii="Tahoma" w:hAnsi="Tahoma" w:cs="Tahoma"/>
      <w:sz w:val="16"/>
      <w:szCs w:val="16"/>
    </w:rPr>
  </w:style>
  <w:style w:type="paragraph" w:styleId="NoSpacing1">
    <w:name w:val="No Spacing1"/>
    <w:qFormat/>
    <w:pPr>
      <w:widowControl/>
    </w:pPr>
    <w:rPr>
      <w:rFonts w:ascii="Calibri" w:hAnsi="Calibri" w:eastAsia="Calibri" w:cs="Calibri"/>
      <w:color w:val="auto"/>
      <w:sz w:val="22"/>
      <w:szCs w:val="22"/>
      <w:lang w:val="uk-UA" w:bidi="ar-SA" w:eastAsia="zh-CN"/>
    </w:rPr>
  </w:style>
  <w:style w:type="paragraph" w:styleId="11">
    <w:name w:val="Без интервала1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uk-UA" w:bidi="ar-SA" w:eastAsia="zh-CN"/>
    </w:rPr>
  </w:style>
  <w:style w:type="paragraph" w:styleId="Style20">
    <w:name w:val="Без інтервалів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uk-UA" w:bidi="ar-SA" w:eastAsia="zh-CN"/>
    </w:rPr>
  </w:style>
  <w:style w:type="paragraph" w:styleId="Style21">
    <w:name w:val="Footer"/>
    <w:basedOn w:val="Normal"/>
    <w:pPr>
      <w:tabs>
        <w:tab w:val="center" w:pos="4819" w:leader="none"/>
        <w:tab w:val="right" w:pos="9639" w:leader="none"/>
      </w:tabs>
    </w:pPr>
    <w:rPr/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</TotalTime>
  <Application>LibreOffice/6.0.4.2$Windows_X86_64 LibreOffice_project/9b0d9b32d5dcda91d2f1a96dc04c645c450872bf</Application>
  <Pages>16</Pages>
  <Words>2291</Words>
  <Characters>14750</Characters>
  <CharactersWithSpaces>17327</CharactersWithSpaces>
  <Paragraphs>535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2018-09-10T19:44:00Z</dcterms:created>
  <dc:creator>Admin</dc:creator>
  <dc:description/>
  <cp:keywords/>
  <dc:language>uk-UA</dc:language>
  <cp:lastModifiedBy>Іняз</cp:lastModifiedBy>
  <cp:lastPrinted>2002-01-01T05:21:00Z</cp:lastPrinted>
  <dcterms:modified xsi:type="dcterms:W3CDTF">2020-02-18T15:07:00Z</dcterms:modified>
  <cp:revision>11</cp:revision>
  <dc:subject/>
  <dc:title/>
</cp:coreProperties>
</file>