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іноземних мов</w:t>
      </w:r>
    </w:p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англійської філології</w:t>
      </w:r>
    </w:p>
    <w:p w:rsidR="005A3D9E" w:rsidRDefault="005A3D9E" w:rsidP="005A3D9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Затверджено</w:t>
      </w:r>
    </w:p>
    <w:p w:rsidR="005A3D9E" w:rsidRPr="008F0202" w:rsidRDefault="005A3D9E" w:rsidP="005A3D9E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202">
        <w:rPr>
          <w:rFonts w:ascii="Times New Roman" w:eastAsia="Calibri" w:hAnsi="Times New Roman" w:cs="Times New Roman"/>
          <w:sz w:val="24"/>
          <w:szCs w:val="24"/>
        </w:rPr>
        <w:t xml:space="preserve">На засіданні кафедри </w:t>
      </w:r>
      <w:r>
        <w:rPr>
          <w:rFonts w:ascii="Times New Roman" w:eastAsia="Calibri" w:hAnsi="Times New Roman" w:cs="Times New Roman"/>
          <w:sz w:val="24"/>
          <w:szCs w:val="24"/>
        </w:rPr>
        <w:t>англійської філології</w:t>
      </w:r>
    </w:p>
    <w:p w:rsidR="005A3D9E" w:rsidRPr="008F0202" w:rsidRDefault="005A3D9E" w:rsidP="005A3D9E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202">
        <w:rPr>
          <w:rFonts w:ascii="Times New Roman" w:eastAsia="Calibri" w:hAnsi="Times New Roman" w:cs="Times New Roman"/>
          <w:sz w:val="24"/>
          <w:szCs w:val="24"/>
        </w:rPr>
        <w:t xml:space="preserve">факультету </w:t>
      </w:r>
      <w:r>
        <w:rPr>
          <w:rFonts w:ascii="Times New Roman" w:eastAsia="Calibri" w:hAnsi="Times New Roman" w:cs="Times New Roman"/>
          <w:sz w:val="24"/>
          <w:szCs w:val="24"/>
        </w:rPr>
        <w:t>іноземних мов</w:t>
      </w:r>
    </w:p>
    <w:p w:rsidR="005A3D9E" w:rsidRDefault="005A3D9E" w:rsidP="005A3D9E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202">
        <w:rPr>
          <w:rFonts w:ascii="Times New Roman" w:eastAsia="Calibri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5A3D9E" w:rsidRDefault="005A3D9E" w:rsidP="005A3D9E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(протокол № 1 від 28.08. 2020 р.)</w:t>
      </w:r>
    </w:p>
    <w:p w:rsidR="005A3D9E" w:rsidRDefault="00DD06CE" w:rsidP="005A3D9E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43180</wp:posOffset>
            </wp:positionV>
            <wp:extent cx="1097915" cy="329565"/>
            <wp:effectExtent l="1905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D9E" w:rsidRDefault="005A3D9E" w:rsidP="005A3D9E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5A3D9E" w:rsidRDefault="005A3D9E" w:rsidP="005A3D9E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проф.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Білинський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М.Е.</w:t>
      </w:r>
    </w:p>
    <w:p w:rsidR="005A3D9E" w:rsidRDefault="005A3D9E" w:rsidP="005A3D9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</w:t>
      </w:r>
      <w:r w:rsidR="002138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лабус</w:t>
      </w:r>
      <w:proofErr w:type="spellEnd"/>
      <w:r w:rsidR="002138F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 навчальної дисципліни «</w:t>
      </w:r>
      <w:bookmarkStart w:id="0" w:name="_GoBack"/>
      <w:bookmarkEnd w:id="0"/>
      <w:r w:rsidRPr="008F020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Просодика: аудіювання та імітація британської норми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»,</w:t>
      </w:r>
    </w:p>
    <w:p w:rsidR="005A3D9E" w:rsidRDefault="005A3D9E" w:rsidP="005A3D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що викладається в межах ОПП (ОПН) «Англійська та друга іноземні мови та літератури» </w:t>
      </w:r>
    </w:p>
    <w:p w:rsidR="005A3D9E" w:rsidRDefault="005A3D9E" w:rsidP="005A3D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першого (бакалаврського рівня вищої освіти для здобувачів з спеціальності 035 Філологія</w:t>
      </w:r>
    </w:p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A3D9E" w:rsidRDefault="005A3D9E" w:rsidP="005A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9E" w:rsidRDefault="005A3D9E" w:rsidP="005A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9E" w:rsidRDefault="005A3D9E" w:rsidP="005A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9E" w:rsidRDefault="005A3D9E" w:rsidP="005A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9E" w:rsidRDefault="005A3D9E" w:rsidP="005A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 2020 р.</w:t>
      </w:r>
    </w:p>
    <w:p w:rsidR="005A3D9E" w:rsidRDefault="005A3D9E" w:rsidP="005A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9E" w:rsidRDefault="005A3D9E" w:rsidP="0035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4BD" w:rsidRPr="003514BD" w:rsidRDefault="003514BD" w:rsidP="0035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4BD">
        <w:rPr>
          <w:rFonts w:ascii="Times New Roman" w:eastAsia="Times New Roman" w:hAnsi="Times New Roman" w:cs="Times New Roman"/>
          <w:sz w:val="24"/>
          <w:szCs w:val="24"/>
        </w:rPr>
        <w:t>Силабус</w:t>
      </w:r>
      <w:proofErr w:type="spellEnd"/>
      <w:r w:rsidRPr="003514BD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proofErr w:type="spellStart"/>
      <w:r w:rsidRPr="003514BD">
        <w:rPr>
          <w:rFonts w:ascii="Times New Roman" w:eastAsia="Times New Roman" w:hAnsi="Times New Roman" w:cs="Times New Roman"/>
          <w:b/>
          <w:sz w:val="24"/>
          <w:szCs w:val="24"/>
        </w:rPr>
        <w:t>Просодика</w:t>
      </w:r>
      <w:proofErr w:type="spellEnd"/>
      <w:r w:rsidRPr="003514B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514BD">
        <w:rPr>
          <w:rFonts w:ascii="Times New Roman" w:eastAsia="Times New Roman" w:hAnsi="Times New Roman" w:cs="Times New Roman"/>
          <w:b/>
          <w:sz w:val="24"/>
          <w:szCs w:val="24"/>
        </w:rPr>
        <w:t>аудіювання</w:t>
      </w:r>
      <w:proofErr w:type="spellEnd"/>
      <w:r w:rsidRPr="003514BD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імітація британської норми</w:t>
      </w:r>
      <w:r w:rsidRPr="003514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Prosody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Listening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Comprehension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Imitation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Standard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British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Pronunciation</w:t>
      </w:r>
      <w:r w:rsidRPr="00DD06C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4BD" w:rsidRPr="003514BD" w:rsidRDefault="003514BD" w:rsidP="0035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14BD">
        <w:rPr>
          <w:rFonts w:ascii="Times New Roman" w:eastAsia="Times New Roman" w:hAnsi="Times New Roman" w:cs="Times New Roman"/>
          <w:sz w:val="24"/>
          <w:szCs w:val="24"/>
          <w:lang w:val="en-US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14BD">
        <w:rPr>
          <w:rFonts w:ascii="Times New Roman" w:eastAsia="Times New Roman" w:hAnsi="Times New Roman" w:cs="Times New Roman"/>
          <w:sz w:val="24"/>
          <w:szCs w:val="24"/>
        </w:rPr>
        <w:t xml:space="preserve"> навчального року</w:t>
      </w:r>
    </w:p>
    <w:p w:rsidR="003514BD" w:rsidRPr="003514BD" w:rsidRDefault="003514BD" w:rsidP="0035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14BD" w:rsidRPr="003514BD" w:rsidRDefault="003514BD" w:rsidP="0035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Просодика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аудіювання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імітація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британської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норми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(Prosody: Listening Comprehension and Imitation of the Standard British Pronunciation)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англійської філології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галузь знань 0203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„Гуманітарні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науки”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напрям підготовки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6.020303,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Спеціалізація </w:t>
            </w:r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англійська філологія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Валеріївна, кандидат філологічних наук, доцент кафедри англійської філології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olenyuk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попередньою домовленістю 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435, вул. Університетська, 1, м. Львів 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Просодика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аудіювання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імітація британської норми» є вибірковою дисципліною з спеціальності Філологія для освітньої програми бакалавра, яка викладається в </w:t>
            </w: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семестрі в обсязі </w:t>
            </w: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____________________________. . 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uk-UA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 «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Просодика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ознайомлює студентів з просодичними елементами мовлення та їхнім функціонуванням. Предметом вивчення навчальної дисципліни є мелодика, відносна сила вимови слів та їхніх частин, співвідношення відрізків мовлення по довготі, загальний темп мовлення, паузи, загальне темброве забарвлення.</w:t>
            </w:r>
            <w:r w:rsidRPr="00DD06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 розроблено таким чином, щоб допомогти студентам покращити вміння сприйняття на слух, вдосконалити свою вимову та позбутися іноземного акценту в мовленні. Він зосереджується на проблемних для українських студентів звуках та навчає їх швидкому зв’язному мовленню, включно з різними видами наголосу та особливостями  інтонаційних моделей. Крім того, курс сприяє формуванню комунікативної та соціокультурної компетенцій.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Метою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вивчення вибіркової дисципліни «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Просодика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аудіювання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імітація британської норми» є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навчити студентів ідентифікувати окремі англійські приголосні та голосні звуки та адекватно відтворювати їх у власному мовленні; сприймати швидке зв’язне мовлення, належним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чином розуміти та послуговуватися різними видами наголосу та інтонаційних моделей, відповідно реагувати на типові комунікативні ситуації, такі як привітання, прощання, висловлення думки, погодження/непогодження, прохання, пропозиції і т.д.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M. Ashby and J.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Maidment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Introducing Phonetic Science</w:t>
            </w:r>
          </w:p>
          <w:p w:rsidR="003514BD" w:rsidRPr="003514BD" w:rsidRDefault="003514BD" w:rsidP="003514B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(Cambridge: Cambridge University Press, 2005) </w:t>
            </w:r>
          </w:p>
          <w:p w:rsidR="003514BD" w:rsidRPr="003514BD" w:rsidRDefault="003514BD" w:rsidP="003514BD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Ladefoged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 Course in Phonetics (4th </w:t>
            </w:r>
            <w:proofErr w:type="gram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edn.,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New York: Wadsworth Publishers, 2005). </w:t>
            </w:r>
          </w:p>
          <w:p w:rsidR="003514BD" w:rsidRPr="003514BD" w:rsidRDefault="003514BD" w:rsidP="003514BD">
            <w:pPr>
              <w:numPr>
                <w:ilvl w:val="0"/>
                <w:numId w:val="2"/>
              </w:numPr>
              <w:tabs>
                <w:tab w:val="left" w:pos="45"/>
              </w:tabs>
              <w:spacing w:after="0" w:line="240" w:lineRule="auto"/>
              <w:ind w:left="360" w:firstLine="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H. J.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Giegerich’s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English Phonology (Cambridge: Cambridge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University Press, 1992).</w:t>
            </w:r>
          </w:p>
          <w:p w:rsidR="003514BD" w:rsidRPr="003514BD" w:rsidRDefault="003514BD" w:rsidP="003514BD">
            <w:pPr>
              <w:numPr>
                <w:ilvl w:val="0"/>
                <w:numId w:val="2"/>
              </w:numPr>
              <w:spacing w:after="0" w:line="240" w:lineRule="auto"/>
              <w:ind w:left="360" w:firstLine="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Stockwell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D.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Minkova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English Words: History and Structure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(Cambridge: Cambridge University Press, 2001) (pp. 168–76).</w:t>
            </w:r>
          </w:p>
          <w:p w:rsidR="003514BD" w:rsidRPr="003514BD" w:rsidRDefault="003514BD" w:rsidP="003514BD">
            <w:pPr>
              <w:numPr>
                <w:ilvl w:val="0"/>
                <w:numId w:val="2"/>
              </w:numPr>
              <w:spacing w:after="0" w:line="240" w:lineRule="auto"/>
              <w:ind w:left="360" w:firstLine="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R. Quirk et al., A Comprehensive Grammar of the English Language (London: Longman, 1985) (pp. 1355–75). </w:t>
            </w:r>
          </w:p>
          <w:p w:rsidR="003514BD" w:rsidRPr="003514BD" w:rsidRDefault="003514BD" w:rsidP="003514BD">
            <w:pPr>
              <w:numPr>
                <w:ilvl w:val="0"/>
                <w:numId w:val="2"/>
              </w:numPr>
              <w:spacing w:after="0" w:line="240" w:lineRule="auto"/>
              <w:ind w:left="360" w:firstLine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Tench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Intonation Systems of English (London: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Cassell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1996).</w:t>
            </w:r>
          </w:p>
          <w:p w:rsidR="003514BD" w:rsidRPr="003514BD" w:rsidRDefault="003514BD" w:rsidP="003514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D. Crystal, </w:t>
            </w:r>
            <w:proofErr w:type="gram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Cambridge Encyclopedia of the English Language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(Cambridge: Cambridge University Press, 2003).</w:t>
            </w:r>
          </w:p>
          <w:p w:rsidR="003514BD" w:rsidRPr="003514BD" w:rsidRDefault="003514BD" w:rsidP="003514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Hewings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Advanced English Pronunciation in Use 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(Cambridge: Cambridge University Press, 2007).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32 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</w:t>
            </w: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практичних занять та </w:t>
            </w: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3514BD" w:rsidRPr="003514BD" w:rsidRDefault="003514BD" w:rsidP="003514B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Знати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предмет, об’єкт та завдання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просодики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англійської мови, її основні поняття та їхні функції, систему фонетичних засобів (висотних, силових, часових) для адекватної передачі ритміко-мелодійного малюнка мовлення; функціональну систему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супрасегментних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засобів мови як на рівні сприйняття (висота тону, довгота, гучність), так і на фізичному рівні (частота, інтенсивність, тривалість);</w:t>
            </w:r>
          </w:p>
          <w:p w:rsidR="003514BD" w:rsidRPr="003514BD" w:rsidRDefault="003514BD" w:rsidP="003514BD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Уміти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правильно вимовляти звуки, характерні для англійської мови, розуміти та відтворювати зв’язне мовлення, грамотно використовувати різні види наголосу та інтонаційні моделі членувати мовлення на фонетичні відрізки; належним чином інтонувати та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акцентуаційно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вірно оформлювати  своє мовлення; розрізняти фразовий, синтагматичний, логічний, тактовий та емфатичний наголоси;диференціювати комунікативні типи висловлювання за інтонацією, адекватно реагувати у різних комунікативних ситуаціях.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Зв’язне мовлення, наголос, інтонація.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Очний 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Fundamentals of Prosody.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2.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Pronunciation of words and phrases. Consonant Clusters.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3.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Stress in Words and Phrases. Stressed and Unstressed Syllables.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4.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Features of Fluent Speech.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5.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Breaking Speech into Units.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6.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Prominent Words in Speech Units.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7.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Intonation Patterns.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 w:rsidRPr="00351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8.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Intonation in Managing Conversation.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в кінці семестру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усний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, навчальні спільноти і т. д.) проектно-орієнтоване навчання, дискусія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урахуванням особливостей навчальної дисципліни.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потребувати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крім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вживаних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операційних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проводиться за 100-бальною шкалою.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самостійні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proofErr w:type="gram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25%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25,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заміри</w:t>
            </w:r>
            <w:proofErr w:type="spellEnd"/>
            <w:proofErr w:type="gram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25,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50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</w:t>
            </w:r>
            <w:proofErr w:type="gram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ідсумкова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100.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ється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письмову роботу – тест.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ідженнями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ідставою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будь-якому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14BD" w:rsidRPr="003514BD" w:rsidRDefault="003514BD" w:rsidP="003514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514BD" w:rsidRPr="003514BD" w:rsidRDefault="003514BD" w:rsidP="003514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14BD" w:rsidRPr="003514BD" w:rsidRDefault="003514BD" w:rsidP="003514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Basic Concepts of Prosody. </w:t>
            </w:r>
          </w:p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Pronunciation of words and phrases. </w:t>
            </w:r>
          </w:p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Consonant Clusters.</w:t>
            </w:r>
          </w:p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Stress in Words and Phrases. </w:t>
            </w:r>
          </w:p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Stressed and Unstressed Syllables. </w:t>
            </w:r>
          </w:p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Features of Fluent Speech. </w:t>
            </w:r>
          </w:p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Breaking Speech into Units.</w:t>
            </w:r>
          </w:p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Prominent Words in Speech Units. </w:t>
            </w:r>
          </w:p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Intonation Patterns. </w:t>
            </w:r>
          </w:p>
          <w:p w:rsidR="003514BD" w:rsidRPr="003514BD" w:rsidRDefault="003514BD" w:rsidP="003514B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Intonation in Managing Conversation.</w:t>
            </w:r>
          </w:p>
        </w:tc>
      </w:tr>
      <w:tr w:rsidR="003514BD" w:rsidRPr="003514BD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514BD" w:rsidRPr="003514BD" w:rsidRDefault="003514BD" w:rsidP="003514BD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3514BD" w:rsidRPr="003514BD" w:rsidRDefault="003514BD" w:rsidP="003514BD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3514BD" w:rsidRPr="003514BD" w:rsidRDefault="003514BD" w:rsidP="003514BD">
      <w:pPr>
        <w:spacing w:after="0" w:line="240" w:lineRule="auto"/>
        <w:jc w:val="both"/>
        <w:rPr>
          <w:rFonts w:ascii="Garamond" w:eastAsia="Times New Roman" w:hAnsi="Garamond" w:cs="Garamond"/>
          <w:b/>
          <w:i/>
          <w:color w:val="000000"/>
          <w:sz w:val="28"/>
          <w:szCs w:val="28"/>
          <w:lang w:val="en-US"/>
        </w:rPr>
      </w:pPr>
      <w:r w:rsidRPr="003514BD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** </w:t>
      </w:r>
      <w:r w:rsidRPr="003514BD">
        <w:rPr>
          <w:rFonts w:ascii="Garamond" w:eastAsia="Times New Roman" w:hAnsi="Garamond" w:cs="Garamond"/>
          <w:b/>
          <w:i/>
          <w:color w:val="000000"/>
          <w:sz w:val="28"/>
          <w:szCs w:val="28"/>
        </w:rPr>
        <w:t>Схема курсу</w:t>
      </w:r>
    </w:p>
    <w:tbl>
      <w:tblPr>
        <w:tblW w:w="109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636"/>
        <w:gridCol w:w="1403"/>
        <w:gridCol w:w="3901"/>
        <w:gridCol w:w="1212"/>
        <w:gridCol w:w="1376"/>
      </w:tblGrid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Тиж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/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короткі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Література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.***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Ресурси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Завдання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Термін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виконання</w:t>
            </w:r>
            <w:proofErr w:type="spellEnd"/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82478D" w:rsidP="0082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01.09.2020-04</w:t>
            </w:r>
            <w:r w:rsidR="003514BD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Prosody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D. Crystal, The Cambridge Encyclopedia of the English Language (Cambridge: Cambridge University Press, 2003).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H. J.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Giegerich’s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English Phonology (Cambridge: Cambridge University Press, 1992).</w:t>
            </w: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01.09.2020-04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Fundamentals of Prosody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82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8247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 w:rsidR="008247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8247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 w:rsidR="008247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Pronunciation of words and phrases. Consonant Clusters.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M. Ashby and J.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Maidment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Introducing Phonetic Science</w:t>
            </w:r>
          </w:p>
          <w:p w:rsidR="003514BD" w:rsidRPr="003514BD" w:rsidRDefault="003514BD" w:rsidP="0035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(Cambridge: Cambridge University Press, 2005) 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ab/>
              <w:t xml:space="preserve"> P.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Ladefoged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 Course in Phonetics (4th </w:t>
            </w:r>
            <w:proofErr w:type="gram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edn.,</w:t>
            </w:r>
            <w:proofErr w:type="gram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New York: Wadsworth Publishers, 2005). </w:t>
            </w: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20-25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Pronunciation of words and phrases. Consonant Clusters.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20-25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82478D" w:rsidP="0082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  <w:r w:rsidR="003514BD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="003514BD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3514BD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Stress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in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Words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Phrases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Stressed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Unstressed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Syllables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Stockwell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D.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Minkova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English Words: History and Structure (Cambridge: Cambridge University </w:t>
            </w: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Press, 2001) (pp. 168–76).</w:t>
            </w: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Stress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in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Words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Phrases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Stressed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Unstressed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Syllables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824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8247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 w:rsidR="008247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 w:rsidR="008247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 w:rsidR="008247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Features of Fluent Speech.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Hewings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Advanced English Pronunciation in Use (Cambridge: Cambridge University Press, 2007).</w:t>
            </w:r>
          </w:p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2478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4147DF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Features of Fluent Speech.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4147DF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41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="004147DF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4147DF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/>
              </w:rPr>
              <w:t>Breaking Speech into Units.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Hewings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Advanced English Pronunciation in Use (Cambridge: Cambridge University Press, 2007).</w:t>
            </w: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4147DF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41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/>
              </w:rPr>
              <w:t>Breaking Speech into Units.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4147DF" w:rsidP="0041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4147DF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/>
              </w:rPr>
              <w:t>Prominent Words in Speech Units.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Hewings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Advanced English Pronunciation in Use (Cambridge: Cambridge University Press, 2007).</w:t>
            </w: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4147DF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41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/>
              </w:rPr>
              <w:t>Prominent Words in Speech Units.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4147DF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41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4147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Intonation Patterns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R. Quirk et al., A Comprehensive Grammar of the English Language (London: Longman, 1985) (pp. 1355–75). </w:t>
            </w: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4147DF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4147DF" w:rsidP="00414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="003514BD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3514BD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="003514BD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="003514BD"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Intonation Patterns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0238B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8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8023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 w:rsidR="008023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 w:rsidR="008023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 w:rsidR="008023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Intonation in Managing Conversation.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Hewings</w:t>
            </w:r>
            <w:proofErr w:type="spellEnd"/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Advanced English Pronunciation in Use (Cambridge: Cambridge University Press, 2007).</w:t>
            </w: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0238B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802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8023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 w:rsidR="008023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8023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 w:rsidR="008023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Intonation in Managing Conversation.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3514BD" w:rsidRPr="003514BD" w:rsidRDefault="0080238B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3514BD" w:rsidRPr="003514BD" w:rsidTr="003E3219">
        <w:tc>
          <w:tcPr>
            <w:tcW w:w="137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3514BD" w:rsidRPr="003514BD" w:rsidRDefault="003514BD" w:rsidP="003514BD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514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залік</w:t>
            </w:r>
          </w:p>
        </w:tc>
        <w:tc>
          <w:tcPr>
            <w:tcW w:w="1403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3514BD" w:rsidRPr="003514BD" w:rsidRDefault="003514BD" w:rsidP="0035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3514BD" w:rsidRPr="003514BD" w:rsidRDefault="003514BD" w:rsidP="003514BD">
      <w:pPr>
        <w:spacing w:after="0" w:line="240" w:lineRule="auto"/>
        <w:jc w:val="both"/>
        <w:rPr>
          <w:rFonts w:ascii="Garamond" w:eastAsia="Times New Roman" w:hAnsi="Garamond" w:cs="Garamond"/>
          <w:b/>
          <w:i/>
          <w:color w:val="000000"/>
          <w:sz w:val="28"/>
          <w:szCs w:val="28"/>
          <w:lang w:val="en-US"/>
        </w:rPr>
      </w:pPr>
    </w:p>
    <w:p w:rsidR="003514BD" w:rsidRPr="003514BD" w:rsidRDefault="003514BD" w:rsidP="003514BD">
      <w:pPr>
        <w:spacing w:after="0" w:line="240" w:lineRule="auto"/>
        <w:jc w:val="both"/>
        <w:rPr>
          <w:rFonts w:ascii="Garamond" w:eastAsia="Times New Roman" w:hAnsi="Garamond" w:cs="Garamond"/>
          <w:b/>
          <w:i/>
          <w:color w:val="000000"/>
          <w:sz w:val="28"/>
          <w:szCs w:val="28"/>
        </w:rPr>
      </w:pPr>
    </w:p>
    <w:p w:rsidR="003514BD" w:rsidRPr="003514BD" w:rsidRDefault="003514BD" w:rsidP="003514BD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3514BD" w:rsidRPr="003514BD" w:rsidRDefault="003514BD" w:rsidP="003514BD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3514BD" w:rsidRPr="003514BD" w:rsidRDefault="003514BD" w:rsidP="003514BD">
      <w:pPr>
        <w:spacing w:after="0" w:line="240" w:lineRule="auto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3514BD" w:rsidRPr="003514BD" w:rsidRDefault="003514BD" w:rsidP="00351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F7C49" w:rsidRDefault="008F7C49"/>
    <w:sectPr w:rsidR="008F7C49" w:rsidSect="00B25BA5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FE" w:rsidRDefault="00D64FFE">
      <w:pPr>
        <w:spacing w:after="0" w:line="240" w:lineRule="auto"/>
      </w:pPr>
      <w:r>
        <w:separator/>
      </w:r>
    </w:p>
  </w:endnote>
  <w:endnote w:type="continuationSeparator" w:id="0">
    <w:p w:rsidR="00D64FFE" w:rsidRDefault="00D6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2D" w:rsidRDefault="00B25BA5">
    <w:pPr>
      <w:pStyle w:val="a3"/>
      <w:framePr w:wrap="auto" w:vAnchor="text" w:hAnchor="page" w:x="10926" w:y="1"/>
    </w:pPr>
    <w:r>
      <w:fldChar w:fldCharType="begin"/>
    </w:r>
    <w:r w:rsidR="0080238B">
      <w:instrText xml:space="preserve"> PAGE \* Arabic </w:instrText>
    </w:r>
    <w:r>
      <w:fldChar w:fldCharType="separate"/>
    </w:r>
    <w:r w:rsidR="00DD06CE">
      <w:rPr>
        <w:noProof/>
      </w:rPr>
      <w:t>1</w:t>
    </w:r>
    <w:r>
      <w:fldChar w:fldCharType="end"/>
    </w:r>
  </w:p>
  <w:p w:rsidR="003E302D" w:rsidRDefault="00D64F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FE" w:rsidRDefault="00D64FFE">
      <w:pPr>
        <w:spacing w:after="0" w:line="240" w:lineRule="auto"/>
      </w:pPr>
      <w:r>
        <w:separator/>
      </w:r>
    </w:p>
  </w:footnote>
  <w:footnote w:type="continuationSeparator" w:id="0">
    <w:p w:rsidR="00D64FFE" w:rsidRDefault="00D6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572"/>
    <w:multiLevelType w:val="hybridMultilevel"/>
    <w:tmpl w:val="B552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7FC5"/>
    <w:multiLevelType w:val="hybridMultilevel"/>
    <w:tmpl w:val="A1501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8CC"/>
    <w:rsid w:val="000C18CC"/>
    <w:rsid w:val="002138FC"/>
    <w:rsid w:val="003514BD"/>
    <w:rsid w:val="004147DF"/>
    <w:rsid w:val="005A3D9E"/>
    <w:rsid w:val="00607602"/>
    <w:rsid w:val="0080238B"/>
    <w:rsid w:val="0082478D"/>
    <w:rsid w:val="008F7C49"/>
    <w:rsid w:val="009379B3"/>
    <w:rsid w:val="00B25BA5"/>
    <w:rsid w:val="00D64FFE"/>
    <w:rsid w:val="00DD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14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5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14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351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7510</Words>
  <Characters>4281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Марко</cp:lastModifiedBy>
  <cp:revision>7</cp:revision>
  <dcterms:created xsi:type="dcterms:W3CDTF">2020-11-30T13:08:00Z</dcterms:created>
  <dcterms:modified xsi:type="dcterms:W3CDTF">2021-02-26T18:33:00Z</dcterms:modified>
</cp:coreProperties>
</file>