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/>
      </w:pPr>
      <w:r>
        <w:rPr>
          <w:b/>
          <w:color w:val="000000"/>
          <w:lang w:val="uk-UA"/>
        </w:rPr>
        <w:t>Силабус курсу «Спеціальні дискурси (військов</w:t>
      </w:r>
      <w:r>
        <w:rPr>
          <w:b/>
          <w:color w:val="000000"/>
          <w:lang w:val="uk-UA"/>
        </w:rPr>
        <w:t>а підмова</w:t>
      </w:r>
      <w:r>
        <w:rPr>
          <w:b/>
          <w:color w:val="000000"/>
          <w:lang w:val="uk-UA"/>
        </w:rPr>
        <w:t>)»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  <w:t>2019-2020 навчального року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tbl>
      <w:tblPr>
        <w:tblW w:w="10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44"/>
        <w:gridCol w:w="7634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3704" w:leader="none"/>
              </w:tabs>
              <w:jc w:val="both"/>
              <w:rPr/>
            </w:pP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Спеціальні дискурси (військов</w:t>
            </w:r>
            <w:r>
              <w:rPr>
                <w:color w:val="000000"/>
                <w:lang w:val="uk-UA"/>
              </w:rPr>
              <w:t>а підмова</w:t>
            </w:r>
            <w:r>
              <w:rPr>
                <w:color w:val="000000"/>
                <w:lang w:val="uk-UA"/>
              </w:rPr>
              <w:t>)</w:t>
              <w:tab/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Львівський національний університет імені Івана Франка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Факультет іноземних мов, кафедра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Галузь знань 03 Гуманітарні науки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Спеціальність 035 Філологія</w:t>
            </w:r>
          </w:p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Спеціалізація 035.041 Германські мови та літератури (переклад включно) — перша англійська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Татаровська Олеся Василівна, канд. філол. наук, доцент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olesia.tatarovska@i.ua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Консультації проводяться в день проведення лекцій/практичних занять (за попередньою домовленістю)</w:t>
            </w:r>
            <w:r>
              <w:rPr>
                <w:color w:val="000000"/>
                <w:lang w:val="ru-RU"/>
              </w:rPr>
              <w:t xml:space="preserve"> (ауд. 435)</w:t>
            </w:r>
            <w:r>
              <w:rPr>
                <w:color w:val="000000"/>
                <w:lang w:val="uk-UA"/>
              </w:rPr>
              <w:t>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Дисципліна «Спеціальні дискурси (військов</w:t>
            </w:r>
            <w:r>
              <w:rPr>
                <w:color w:val="000000"/>
                <w:lang w:val="uk-UA"/>
              </w:rPr>
              <w:t>а підмова</w:t>
            </w:r>
            <w:r>
              <w:rPr>
                <w:color w:val="000000"/>
                <w:lang w:val="uk-UA"/>
              </w:rPr>
              <w:t xml:space="preserve">)» є завершальною вибірковою дисципліною з спеціальності </w:t>
            </w:r>
            <w:r>
              <w:rPr>
                <w:lang w:val="uk-UA"/>
              </w:rPr>
              <w:t>03 Гуманітарні науки</w:t>
            </w:r>
            <w:r>
              <w:rPr>
                <w:color w:val="000000"/>
                <w:lang w:val="uk-UA"/>
              </w:rPr>
              <w:t xml:space="preserve"> для освітньої програми “</w:t>
            </w:r>
            <w:r>
              <w:rPr>
                <w:color w:val="000000"/>
                <w:lang w:val="uk-UA"/>
              </w:rPr>
              <w:t>Англійська мова і література” зі спеціальності 035</w:t>
            </w:r>
            <w:r>
              <w:rPr>
                <w:lang w:val="uk-UA"/>
              </w:rPr>
              <w:t xml:space="preserve"> Філологія, освітньо-кваліфікаційний рівень бакалавр</w:t>
            </w:r>
            <w:r>
              <w:rPr>
                <w:color w:val="000000"/>
                <w:lang w:val="uk-UA"/>
              </w:rPr>
              <w:t xml:space="preserve">, яка викладається у 8 семестрі в обсязі 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кредит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  <w:lang w:val="uk-UA"/>
              </w:rPr>
              <w:t xml:space="preserve"> (за Європейською Кредитно-Трансферною Системою ECTS).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lang w:val="uk-UA"/>
              </w:rPr>
              <w:t>організувати, проводити і представляти власні переклади з військової тематики</w:t>
            </w:r>
            <w:r>
              <w:rPr>
                <w:color w:val="000000"/>
                <w:lang w:val="uk-UA"/>
              </w:rPr>
              <w:t xml:space="preserve">. Тому у курсі представлено як огляд концепцій </w:t>
            </w:r>
            <w:r>
              <w:rPr>
                <w:lang w:val="uk-UA"/>
              </w:rPr>
              <w:t>про сутність, характер, структуру, закономірності і військового перекладу у галузі іноземної філології</w:t>
            </w:r>
            <w:r>
              <w:rPr>
                <w:color w:val="000000"/>
                <w:lang w:val="uk-UA"/>
              </w:rPr>
              <w:t xml:space="preserve">, так і процесів та інструментів, які потрібні для </w:t>
            </w:r>
            <w:r>
              <w:rPr>
                <w:lang w:val="uk-UA"/>
              </w:rPr>
              <w:t xml:space="preserve">стимулювання перекладацької діяльності.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Метою вивчення нормативної дисципліни «Спеціальні дискурси (військовий переклад)» є </w:t>
            </w:r>
            <w:r>
              <w:rPr>
                <w:lang w:val="uk-UA"/>
              </w:rPr>
              <w:t xml:space="preserve">формування у студентів системи знань про сутність, характер, структуру, закономірності військового перекладу у галузі іноземної філології та вмінь організувати, проводити і представляти власні перекладацькій доробки і надбання. Особлива увага звертається на розвиток творчого та наукового потенціалу студентів, формування наукових інтересів, стимулювання перекладацької діяльності. 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9"/>
              <w:numPr>
                <w:ilvl w:val="8"/>
                <w:numId w:val="1"/>
              </w:numPr>
              <w:spacing w:before="240" w:after="6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Базова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Балабін В.В., Лісовський В.М., Чернишов О.О. Основи військового перекладу (англійська мова) // Підручник. — Київ: Логос, 2008. — 587 с.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Лісовський В.М. Військово-технічний переклад (англійська мова) Підручник / за ред. В.В. Балабіна. — Київ: ВІКНУ, 2009. — 950 с.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Допоміжна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ГлускинВ.М. US Army missiles, rockets and nuclear weapons.−М.:Воениздат, 1986 г. −328 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Державна програма реформування і розвитку Збройних Сил України на період до 2005 року.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Иллюстрирований военно-технический словарь (русский, английский, немецкий, французскийи испанский языки). Под ред. Л.Л. Нелюбина.− М.: Воениздат, 1968. − 483 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Наставление по стрелковому делу. − М.: Воениздат, 1985. 10.Настанова зі стрілецької справи. − К., 2004. − 568 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Нелюбин Л.Л., Дормидонтов А.А., Васильченко А.А.Учебник военного перевода: Английский язык.Общийкурс./ Под ред. Л.Л. Нелюбина. − М.: Воениздат, 1981 –444 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Нелюбин Л.Л., Дормидонтов А.А., Васильченко А.А.Учебник военного перевода: Английский язык.Специальний курс./ Под ред. Л.Л. Нелюбина. − М.: Воениздат, 1984 –440 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Освітньо-кваліфікаційна характеристика підготовки бакалавра з військового перекладу/ В.В. Балабін, П.М. Мехед,І.О. Ольховой,В.М. Лісовськийта ін. − К.: ВІКНУ, 2006. − 15 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Російсько-український словник./І.О. Анніна, Г.Н. Горющина, І.С. Гнатюк та ін. − К.: Абрис, 2007. − 16с.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Словник основних термінів та скорочень, які використовуються в НАТО. − К.: “МП Леся”, 2004.</w:t>
            </w:r>
          </w:p>
          <w:p>
            <w:pPr>
              <w:pStyle w:val="Normal"/>
              <w:autoSpaceDE w:val="false"/>
              <w:ind w:firstLine="708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Тривалість курсу</w:t>
            </w: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 семестр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48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годин аудиторних занять. З них 16 годин лекцій, 16 годин лабораторних робіт/практичних занять та 16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8"/>
              <w:jc w:val="both"/>
              <w:rPr/>
            </w:pPr>
            <w:r>
              <w:rPr>
                <w:b/>
                <w:bCs/>
                <w:lang w:val="uk-UA"/>
              </w:rPr>
              <w:t>Після завершення курсу студенти повинні знати</w:t>
            </w:r>
            <w:r>
              <w:rPr>
                <w:b/>
                <w:bCs/>
                <w:lang w:val="ru-RU"/>
              </w:rPr>
              <w:t>: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суть і завданнядіяльності комуніканта-посередника, пов„язаної з письмовим і усним перекладом галузевих текстів, англійською або українською мовами;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 термінологічний апарат і основні положення теорії письмового і усного перекладу зв'язного тексту;</w:t>
            </w:r>
          </w:p>
          <w:p>
            <w:pPr>
              <w:pStyle w:val="Normal"/>
              <w:jc w:val="both"/>
              <w:rPr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 загальнонаукову та визначену програмою спеціальну термінологічну лексику сучасних провідних галузейлюдської діяльності;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морфологічні, синтаксичні, семантичні та стилістичнірозбіжності систем англійської та української мов, а також соціолінгвістичні фактори і прагматичні настанови, які впливають на процес та результат перекладу як виду мовленнєвої діяльності; 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 прагматичні аспекти технічного перекладу і основні способи комунікативної адаптації цільового тексту;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 відмінні ознаки еквівалентності та адекватності цільового тексту;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 перекладацькі стратегії, основні моделі перекладу, номенклатуру і сутність трансформаційно-адаптивних засобів та способів їх використання задля забезпечення еквівалентності та прагматичної адекватності цільового тексту;</w:t>
            </w:r>
          </w:p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- вимоги до оформлення різних видів письмового перекладу.</w:t>
            </w:r>
            <w:r>
              <w:rPr>
                <w:b/>
                <w:bCs/>
                <w:lang w:val="uk-UA"/>
              </w:rPr>
              <w:tab/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lang w:val="uk-UA"/>
              </w:rPr>
              <w:t>Після завершення курсу студенти повинні вміти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b/>
                <w:b/>
                <w:bCs/>
                <w:lang w:val="uk-UA"/>
              </w:rPr>
            </w:pPr>
            <w:r>
              <w:rPr>
                <w:lang w:val="uk-UA"/>
              </w:rPr>
              <w:t>досконало володіти на рецептивному та продуктивному рівнях рідною та іноземною мовами;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b/>
                <w:b/>
                <w:bCs/>
                <w:lang w:val="uk-UA"/>
              </w:rPr>
            </w:pPr>
            <w:r>
              <w:rPr>
                <w:lang w:val="uk-UA"/>
              </w:rPr>
              <w:t>застосовувати на практиці теоретичні знання, лексико-граматичні навички і мовленнєві вміння, які входять до складу перекладацької комунікативної компетенції;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b/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працювати із загальними, політехнічними та спеціальними (галузевими) джерелами інформації з метою отримання додаткової інформації (фонових знань) стосовно проблематики тексту оригіналу;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b/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користуватися Інтернет-ресурсами загальноосвітнього та спеціального наукового призначення, оформленими у вигляді електронних бібліотек, словників, енциклопедій, інформаційних блогів та персональних сайтів науковців; 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b/>
                <w:b/>
                <w:bCs/>
                <w:lang w:val="uk-UA"/>
              </w:rPr>
            </w:pPr>
            <w:r>
              <w:rPr>
                <w:lang w:val="uk-UA"/>
              </w:rPr>
              <w:t>виконувати різні форми та види галузевого перекладу, які характеризуються високим рівнем еквівалентності та адекватності.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Теорія перекладу, перекладознавство, усний та письмовий військовий переклад, міжкультурна комунікація, соціокультурні знання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Очний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 xml:space="preserve">Тема 1. Переклад як засіб міжмовної та міжкультурної комунікації 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 xml:space="preserve">Тема 2. Професійний етикет та імідж перекладача 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>Тема 3. Особливості менталітету різних культур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>Тема 4. Порівняльна типологія англійської та української мов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 xml:space="preserve">Тема 5. Сприйняття та розуміння повідомлень під час перекладу 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>Тема 6. Типи контекстів та контекстуальних зв’язків в усному дискурсі</w:t>
            </w:r>
          </w:p>
          <w:p>
            <w:pPr>
              <w:pStyle w:val="Style31"/>
              <w:rPr>
                <w:rStyle w:val="FontStyle15"/>
                <w:b w:val="false"/>
                <w:b w:val="false"/>
                <w:bCs w:val="false"/>
              </w:rPr>
            </w:pPr>
            <w:r>
              <w:rPr>
                <w:rStyle w:val="FontStyle15"/>
                <w:b w:val="false"/>
                <w:bCs w:val="false"/>
              </w:rPr>
              <w:t xml:space="preserve">Тема 7. Політична коректність та усний переклад 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>Тема 8. Семантичні аспекти інтерпретації</w:t>
            </w:r>
          </w:p>
          <w:p>
            <w:pPr>
              <w:pStyle w:val="Style31"/>
              <w:rPr>
                <w:rStyle w:val="FontStyle15"/>
                <w:b w:val="false"/>
                <w:b w:val="false"/>
                <w:bCs w:val="false"/>
              </w:rPr>
            </w:pPr>
            <w:r>
              <w:rPr>
                <w:rStyle w:val="FontStyle15"/>
                <w:b w:val="false"/>
                <w:bCs w:val="false"/>
              </w:rPr>
              <w:t xml:space="preserve">Тема9. Лексичні аспекти перекладу 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 xml:space="preserve">Тема 10. Граматичні труднощі при перекладі </w:t>
            </w:r>
          </w:p>
          <w:p>
            <w:pPr>
              <w:pStyle w:val="Style31"/>
              <w:rPr/>
            </w:pPr>
            <w:r>
              <w:rPr>
                <w:rStyle w:val="FontStyle15"/>
                <w:b w:val="false"/>
                <w:bCs w:val="false"/>
              </w:rPr>
              <w:t>Тема 11. Особливості перекладу дискурсу на суспільно-політичну тематику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усний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Пререквізити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вивчення курсу студенти потребують базових знань з мовознавчих дисциплін, достатніх для сприйняття категоріального апарату перекладознавства, розуміння джерел.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uk-UA"/>
              </w:rPr>
              <w:t>Презентація, лекції, колаборативне навчання (форми – групові проекти, спільні розробки, тьюторство,  навчальні спільноти і т. д.) проектно-орієнтоване навчання, дискусія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Вивчення курсу не потребує використання програмного забезпечення, крім загально вживаних програм і операційних систем.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практичні/самостійні: 25% семестрової оцінки; максимальна кількість балів 25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• </w:t>
            </w:r>
            <w:r>
              <w:rPr>
                <w:color w:val="000000"/>
                <w:lang w:val="ru-RU"/>
              </w:rPr>
              <w:t>контрольні заміри (модулі): 25% семестрової оцінки; максимальна кількість балів 25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• </w:t>
            </w:r>
            <w:r>
              <w:rPr>
                <w:color w:val="000000"/>
                <w:lang w:val="ru-RU"/>
              </w:rPr>
              <w:t>залік: 50% семестрової оцінки. Максимальна кількість балів 50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Підсумкова максимальна кількість балів 100.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декілька видів письмових робіт.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color w:val="000000"/>
                <w:lang w:val="ru-RU"/>
              </w:rPr>
              <w:t>П</w:t>
            </w:r>
            <w:r>
              <w:rPr>
                <w:b/>
                <w:bCs/>
                <w:color w:val="000000"/>
                <w:lang w:val="uk-UA" w:eastAsia="uk-UA"/>
              </w:rPr>
              <w:t>олітика виставлення балів.</w:t>
            </w:r>
            <w:r>
              <w:rPr>
                <w:color w:val="000000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</w:r>
          </w:p>
          <w:p>
            <w:pPr>
              <w:pStyle w:val="Normal"/>
              <w:shd w:fill="FFFFFF" w:val="clear"/>
              <w:jc w:val="both"/>
              <w:textAlignment w:val="baseline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000000"/>
                <w:lang w:val="ru-RU" w:eastAsia="uk-UA"/>
              </w:rPr>
            </w:pPr>
            <w:r>
              <w:rPr>
                <w:color w:val="000000"/>
                <w:lang w:val="ru-RU" w:eastAsia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Питання до заліку чи екзамену.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jc w:val="both"/>
              <w:textAlignment w:val="baseline"/>
              <w:rPr/>
            </w:pPr>
            <w:r>
              <w:rPr>
                <w:color w:val="000000"/>
                <w:lang w:val="uk-UA" w:eastAsia="uk-UA"/>
              </w:rPr>
              <w:t>Наводиться перелік питань та завдань для проведення підсумкової оцінки знань у підручнику</w:t>
            </w:r>
          </w:p>
          <w:p>
            <w:pPr>
              <w:pStyle w:val="Normal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Балабін В.В., Лісовський В.М., Чернишов О.О. Основи військового перекладу (англійська мова) // Підручник. — Київ: Логос, 2008. — 587 с.</w:t>
            </w:r>
          </w:p>
          <w:p>
            <w:pPr>
              <w:pStyle w:val="Normal"/>
              <w:jc w:val="both"/>
              <w:rPr>
                <w:i/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sectPr>
      <w:footerReference w:type="default" r:id="rId2"/>
      <w:type w:val="nextPage"/>
      <w:pgSz w:w="12240" w:h="15840"/>
      <w:pgMar w:left="1134" w:right="1134" w:header="0" w:top="899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Garamond">
    <w:charset w:val="cc"/>
    <w:family w:val="roman"/>
    <w:pitch w:val="variable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>
                <w:txbxContent>
                  <w:p>
                    <w:pPr>
                      <w:pStyle w:val="Style2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  <w:lang w:val="ru-RU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</w:abstractNum>
  <w:abstractNum w:abstractNumId="5">
    <w:lvl w:ilvl="0"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rFonts w:cs="Times New Roman"/>
        <w:lang w:val="uk-U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en-US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 w:val="false"/>
      <w:sz w:val="32"/>
      <w:szCs w:val="32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spacing w:before="280" w:after="280"/>
      <w:outlineLvl w:val="1"/>
    </w:pPr>
    <w:rPr>
      <w:b/>
      <w:bCs w:val="false"/>
      <w:sz w:val="36"/>
      <w:szCs w:val="36"/>
      <w:lang w:val="uk-UA" w:eastAsia="uk-U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 w:val="false"/>
      <w:sz w:val="26"/>
      <w:szCs w:val="26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eastAsia="Times New Roman" w:cs="Times New Roman"/>
      <w:sz w:val="22"/>
      <w:szCs w:val="22"/>
    </w:rPr>
  </w:style>
  <w:style w:type="character" w:styleId="WW8Num1z0">
    <w:name w:val="WW8Num1z0"/>
    <w:qFormat/>
    <w:rPr>
      <w:rFonts w:ascii="Symbol" w:hAnsi="Symbol" w:eastAsia="Times New Roman" w:cs="Garamond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Garamond" w:hAnsi="Garamond" w:eastAsia="Times New Roman" w:cs="Garamond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lang w:val="uk-UA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  <w:lang w:val="ru-RU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  <w:lang w:val="uk-UA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DefaultParagraphFont">
    <w:name w:val="Default Paragraph Font"/>
    <w:qFormat/>
    <w:rPr/>
  </w:style>
  <w:style w:type="character" w:styleId="Style10">
    <w:name w:val="Номер сторінки"/>
    <w:basedOn w:val="DefaultParagraphFont"/>
    <w:rPr/>
  </w:style>
  <w:style w:type="character" w:styleId="Style11">
    <w:name w:val="Гіперпосилання"/>
    <w:rPr>
      <w:color w:val="0000FF"/>
      <w:u w:val="single"/>
    </w:rPr>
  </w:style>
  <w:style w:type="character" w:styleId="Shorttext">
    <w:name w:val="short_text"/>
    <w:basedOn w:val="DefaultParagraphFont"/>
    <w:qFormat/>
    <w:rPr/>
  </w:style>
  <w:style w:type="character" w:styleId="Hps">
    <w:name w:val="hps"/>
    <w:basedOn w:val="DefaultParagraphFont"/>
    <w:qFormat/>
    <w:rPr/>
  </w:style>
  <w:style w:type="character" w:styleId="Style12">
    <w:name w:val="Виділення жирним"/>
    <w:qFormat/>
    <w:rPr>
      <w:b/>
      <w:bCs w:val="false"/>
    </w:rPr>
  </w:style>
  <w:style w:type="character" w:styleId="Treb">
    <w:name w:val="treb"/>
    <w:basedOn w:val="DefaultParagraphFont"/>
    <w:qFormat/>
    <w:rPr/>
  </w:style>
  <w:style w:type="character" w:styleId="Instancename">
    <w:name w:val="instancename"/>
    <w:basedOn w:val="DefaultParagraphFont"/>
    <w:qFormat/>
    <w:rPr/>
  </w:style>
  <w:style w:type="character" w:styleId="11">
    <w:name w:val=" Знак Знак1"/>
    <w:qFormat/>
    <w:rPr>
      <w:b/>
      <w:bCs w:val="false"/>
      <w:sz w:val="36"/>
      <w:szCs w:val="36"/>
    </w:rPr>
  </w:style>
  <w:style w:type="character" w:styleId="21">
    <w:name w:val=" Знак Знак2"/>
    <w:qFormat/>
    <w:rPr>
      <w:rFonts w:ascii="Cambria" w:hAnsi="Cambria" w:eastAsia="Times New Roman" w:cs="Times New Roman"/>
      <w:b/>
      <w:bCs w:val="false"/>
      <w:kern w:val="2"/>
      <w:sz w:val="32"/>
      <w:szCs w:val="32"/>
      <w:lang w:val="en-US"/>
    </w:rPr>
  </w:style>
  <w:style w:type="character" w:styleId="Articlealttitle">
    <w:name w:val="articlealttitle"/>
    <w:basedOn w:val="DefaultParagraphFont"/>
    <w:qFormat/>
    <w:rPr/>
  </w:style>
  <w:style w:type="character" w:styleId="Style13">
    <w:name w:val=" Знак Знак"/>
    <w:qFormat/>
    <w:rPr>
      <w:rFonts w:ascii="Cambria" w:hAnsi="Cambria" w:eastAsia="Times New Roman" w:cs="Times New Roman"/>
      <w:b/>
      <w:bCs w:val="false"/>
      <w:sz w:val="26"/>
      <w:szCs w:val="26"/>
      <w:lang w:val="en-US"/>
    </w:rPr>
  </w:style>
  <w:style w:type="character" w:styleId="Accesshide">
    <w:name w:val="accesshide"/>
    <w:basedOn w:val="DefaultParagraphFont"/>
    <w:qFormat/>
    <w:rPr/>
  </w:style>
  <w:style w:type="character" w:styleId="St">
    <w:name w:val="st"/>
    <w:basedOn w:val="DefaultParagraphFont"/>
    <w:qFormat/>
    <w:rPr/>
  </w:style>
  <w:style w:type="character" w:styleId="Style14">
    <w:name w:val="Виділення"/>
    <w:qFormat/>
    <w:rPr>
      <w:i/>
      <w:iCs w:val="false"/>
    </w:rPr>
  </w:style>
  <w:style w:type="character" w:styleId="BalloonTextChar">
    <w:name w:val="Balloon Text Char"/>
    <w:qFormat/>
    <w:rPr>
      <w:rFonts w:ascii="Segoe UI" w:hAnsi="Segoe UI" w:cs="Segoe UI"/>
      <w:color w:val="000000"/>
      <w:sz w:val="18"/>
      <w:szCs w:val="18"/>
      <w:lang w:val="en-US"/>
    </w:rPr>
  </w:style>
  <w:style w:type="character" w:styleId="HeaderChar">
    <w:name w:val="Header Char"/>
    <w:qFormat/>
    <w:rPr>
      <w:lang w:val="ru-RU"/>
    </w:rPr>
  </w:style>
  <w:style w:type="character" w:styleId="Heading9Char">
    <w:name w:val="Heading 9 Char"/>
    <w:qFormat/>
    <w:rPr>
      <w:rFonts w:ascii="Calibri Light" w:hAnsi="Calibri Light" w:eastAsia="Times New Roman" w:cs="Times New Roman"/>
      <w:color w:val="000000"/>
      <w:sz w:val="22"/>
      <w:szCs w:val="22"/>
      <w:lang w:val="en-US"/>
    </w:rPr>
  </w:style>
  <w:style w:type="character" w:styleId="TitleChar">
    <w:name w:val="Title Char"/>
    <w:qFormat/>
    <w:rPr>
      <w:b/>
      <w:bCs/>
      <w:sz w:val="28"/>
      <w:szCs w:val="24"/>
    </w:rPr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b/>
      <w:bCs/>
      <w:sz w:val="20"/>
      <w:szCs w:val="20"/>
    </w:rPr>
  </w:style>
  <w:style w:type="character" w:styleId="Fmt">
    <w:name w:val="fmt"/>
    <w:qFormat/>
    <w:rPr/>
  </w:style>
  <w:style w:type="paragraph" w:styleId="Style15">
    <w:name w:val="Заголовок"/>
    <w:basedOn w:val="Normal"/>
    <w:next w:val="Style16"/>
    <w:qFormat/>
    <w:pPr>
      <w:jc w:val="center"/>
    </w:pPr>
    <w:rPr>
      <w:b/>
      <w:bCs/>
      <w:color w:val="000000"/>
      <w:sz w:val="28"/>
      <w:lang w:val="uk-UA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llets">
    <w:name w:val="Bullets"/>
    <w:basedOn w:val="Normal"/>
    <w:qFormat/>
    <w:pPr>
      <w:widowControl w:val="false"/>
      <w:numPr>
        <w:ilvl w:val="0"/>
        <w:numId w:val="4"/>
      </w:numPr>
      <w:tabs>
        <w:tab w:val="left" w:pos="0" w:leader="none"/>
        <w:tab w:val="left" w:pos="284" w:leader="none"/>
      </w:tabs>
      <w:spacing w:before="60" w:after="0"/>
      <w:ind w:left="284" w:hanging="284"/>
    </w:pPr>
    <w:rPr>
      <w:rFonts w:eastAsia="SimSun;宋体" w:cs="Arial"/>
      <w:sz w:val="22"/>
      <w:szCs w:val="20"/>
      <w:lang w:val="en-AU" w:eastAsia="zh-C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NormalWeb">
    <w:name w:val="Normal (Web)"/>
    <w:basedOn w:val="Normal"/>
    <w:qFormat/>
    <w:pPr>
      <w:spacing w:before="280" w:after="280"/>
    </w:pPr>
    <w:rPr>
      <w:lang w:val="tr-TR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>
      <w:color w:val="000000"/>
      <w:sz w:val="20"/>
      <w:szCs w:val="20"/>
      <w:lang w:val="ru-RU"/>
    </w:rPr>
  </w:style>
  <w:style w:type="paragraph" w:styleId="Style31">
    <w:name w:val="Style3"/>
    <w:basedOn w:val="Normal"/>
    <w:qFormat/>
    <w:pPr>
      <w:widowControl w:val="false"/>
      <w:autoSpaceDE w:val="false"/>
    </w:pPr>
    <w:rPr>
      <w:color w:val="000000"/>
      <w:lang w:val="uk-UA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paragraph" w:styleId="Style24">
    <w:name w:val="Вміст рам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266</TotalTime>
  <Application>LibreOffice/6.0.4.2$Windows_X86_64 LibreOffice_project/9b0d9b32d5dcda91d2f1a96dc04c645c450872bf</Application>
  <Pages>4</Pages>
  <Words>1193</Words>
  <Characters>8512</Characters>
  <CharactersWithSpaces>9623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2019-10-07T16:26:00Z</dcterms:created>
  <dc:creator>def</dc:creator>
  <dc:description/>
  <cp:keywords/>
  <dc:language>uk-UA</dc:language>
  <cp:lastModifiedBy/>
  <cp:lastPrinted>2019-09-11T10:21:00Z</cp:lastPrinted>
  <dcterms:modified xsi:type="dcterms:W3CDTF">2020-04-18T18:26:09Z</dcterms:modified>
  <cp:revision>28</cp:revision>
  <dc:subject/>
  <dc:title>- Dersin Ad?</dc:title>
</cp:coreProperties>
</file>