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С И Л А Б У С</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Методика навчання іноземної мови</w:t>
      </w: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r>
        <w:rPr>
          <w:rFonts w:ascii="Times New Roman" w:hAnsi="Times New Roman" w:cs="Times New Roman"/>
          <w:b/>
          <w:sz w:val="28"/>
          <w:szCs w:val="28"/>
          <w:lang w:val="ru-RU"/>
        </w:rPr>
        <w:t xml:space="preserve">Освітній рівень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бакалавр</w:t>
      </w:r>
    </w:p>
    <w:p>
      <w:pPr>
        <w:tabs>
          <w:tab w:val="left" w:pos="2127"/>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Галузь знань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 xml:space="preserve">03 </w:t>
      </w:r>
      <w:r>
        <w:rPr>
          <w:rFonts w:ascii="Times New Roman" w:hAnsi="Times New Roman" w:cs="Times New Roman"/>
          <w:b/>
          <w:sz w:val="28"/>
          <w:szCs w:val="28"/>
        </w:rPr>
        <w:t>Г</w:t>
      </w:r>
      <w:r>
        <w:rPr>
          <w:rFonts w:ascii="Times New Roman" w:hAnsi="Times New Roman" w:cs="Times New Roman"/>
          <w:b/>
          <w:sz w:val="28"/>
          <w:szCs w:val="28"/>
          <w:lang w:val="ru-RU"/>
        </w:rPr>
        <w:t>уманітарні науки</w:t>
      </w:r>
    </w:p>
    <w:p>
      <w:pPr>
        <w:rPr>
          <w:rFonts w:ascii="Times New Roman" w:hAnsi="Times New Roman" w:cs="Times New Roman"/>
          <w:b/>
          <w:sz w:val="28"/>
          <w:szCs w:val="28"/>
          <w:lang w:val="ru-RU"/>
        </w:rPr>
      </w:pPr>
      <w:r>
        <w:rPr>
          <w:rFonts w:ascii="Times New Roman" w:hAnsi="Times New Roman" w:cs="Times New Roman"/>
          <w:b/>
          <w:sz w:val="28"/>
          <w:szCs w:val="28"/>
          <w:lang w:val="ru-RU"/>
        </w:rPr>
        <w:t xml:space="preserve">Спеціальність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035 Філологія</w:t>
      </w:r>
    </w:p>
    <w:p>
      <w:pPr>
        <w:ind w:left="2832" w:hanging="2832"/>
        <w:rPr>
          <w:rFonts w:ascii="Times New Roman" w:hAnsi="Times New Roman" w:cs="Times New Roman"/>
          <w:b/>
          <w:sz w:val="28"/>
          <w:szCs w:val="28"/>
          <w:lang w:val="ru-RU"/>
        </w:rPr>
      </w:pPr>
      <w:r>
        <w:rPr>
          <w:rFonts w:ascii="Times New Roman" w:hAnsi="Times New Roman" w:cs="Times New Roman"/>
          <w:b/>
          <w:sz w:val="28"/>
          <w:szCs w:val="28"/>
          <w:lang w:val="ru-RU"/>
        </w:rPr>
        <w:t xml:space="preserve">Спеціалізація </w:t>
      </w:r>
      <w:r>
        <w:rPr>
          <w:rFonts w:ascii="Times New Roman" w:hAnsi="Times New Roman" w:cs="Times New Roman"/>
          <w:b/>
          <w:sz w:val="28"/>
          <w:szCs w:val="28"/>
          <w:lang w:val="ru-RU"/>
        </w:rPr>
        <w:tab/>
      </w:r>
      <w:r>
        <w:rPr>
          <w:rFonts w:ascii="Times New Roman" w:hAnsi="Times New Roman" w:cs="Times New Roman"/>
          <w:b/>
          <w:sz w:val="28"/>
          <w:szCs w:val="28"/>
          <w:lang w:val="ru-RU"/>
        </w:rPr>
        <w:t>035.04 Германські мови та літератури (переклад включно)</w:t>
      </w:r>
    </w:p>
    <w:p>
      <w:pPr>
        <w:rPr>
          <w:rFonts w:ascii="Times New Roman" w:hAnsi="Times New Roman" w:cs="Times New Roman"/>
          <w:b/>
          <w:sz w:val="28"/>
          <w:szCs w:val="28"/>
          <w:lang w:val="ru-RU"/>
        </w:rPr>
      </w:pPr>
      <w:r>
        <w:rPr>
          <w:rFonts w:ascii="Times New Roman" w:hAnsi="Times New Roman" w:cs="Times New Roman"/>
          <w:b/>
          <w:sz w:val="28"/>
          <w:szCs w:val="28"/>
        </w:rPr>
        <w:t>Освітня програма</w:t>
      </w:r>
      <w:r>
        <w:rPr>
          <w:rFonts w:ascii="Times New Roman" w:hAnsi="Times New Roman" w:cs="Times New Roman"/>
          <w:b/>
          <w:sz w:val="28"/>
          <w:szCs w:val="28"/>
        </w:rPr>
        <w:tab/>
      </w:r>
      <w:r>
        <w:rPr>
          <w:rFonts w:ascii="Times New Roman" w:hAnsi="Times New Roman" w:cs="Times New Roman"/>
          <w:b/>
          <w:sz w:val="28"/>
          <w:szCs w:val="28"/>
          <w:lang w:val="ru-RU"/>
        </w:rPr>
        <w:t>«Переклад (німецька мова)»</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Львів – 2020 рік</w:t>
      </w:r>
      <w:r>
        <w:rPr>
          <w:rFonts w:ascii="Times New Roman" w:hAnsi="Times New Roman" w:cs="Times New Roman"/>
          <w:b/>
          <w:sz w:val="28"/>
          <w:szCs w:val="28"/>
          <w:lang w:val="ru-RU"/>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«Методика навчання іноземної мови»</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rPr>
              <w:t>Граматичні аспекти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Івана Франка, м. Львів, вул. Університетська</w:t>
            </w:r>
            <w:r>
              <w:rPr>
                <w:rFonts w:ascii="Times New Roman" w:hAnsi="Times New Roman" w:cs="Times New Roman"/>
                <w:sz w:val="24"/>
                <w:szCs w:val="24"/>
                <w:lang w:val="ru-RU"/>
              </w:rPr>
              <w:t>,</w:t>
            </w:r>
            <w:r>
              <w:rPr>
                <w:rFonts w:ascii="Times New Roman" w:hAnsi="Times New Roman" w:cs="Times New Roman"/>
                <w:sz w:val="24"/>
                <w:szCs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bCs/>
                <w:i/>
                <w:iCs/>
                <w:sz w:val="24"/>
                <w:szCs w:val="24"/>
              </w:rPr>
            </w:pPr>
            <w:r>
              <w:rPr>
                <w:rFonts w:ascii="Times New Roman" w:hAnsi="Times New Roman" w:cs="Times New Roman"/>
                <w:sz w:val="24"/>
                <w:szCs w:val="24"/>
              </w:rPr>
              <w:t xml:space="preserve">Спеціалізація </w:t>
            </w:r>
            <w:r>
              <w:rPr>
                <w:rFonts w:ascii="Times New Roman" w:hAnsi="Times New Roman" w:cs="Times New Roman"/>
                <w:bCs/>
                <w:i/>
                <w:iCs/>
                <w:sz w:val="24"/>
                <w:szCs w:val="24"/>
                <w:lang w:val="ru-RU"/>
              </w:rPr>
              <w:t>035.04 Германські мови та літератури (переклад включно)</w:t>
            </w:r>
          </w:p>
          <w:p>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Освітня програма</w:t>
            </w:r>
            <w:r>
              <w:rPr>
                <w:rFonts w:ascii="Times New Roman" w:hAnsi="Times New Roman" w:cs="Times New Roman"/>
                <w:i/>
                <w:sz w:val="24"/>
                <w:szCs w:val="24"/>
              </w:rPr>
              <w:tab/>
            </w:r>
            <w:r>
              <w:rPr>
                <w:rFonts w:ascii="Times New Roman" w:hAnsi="Times New Roman" w:cs="Times New Roman"/>
                <w:i/>
                <w:sz w:val="24"/>
                <w:szCs w:val="24"/>
              </w:rPr>
              <w:t>«Переклад (німецька мова)»</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ВИКЛАДАЧА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Прізвище, ім'я, по батькові</w:t>
            </w:r>
          </w:p>
        </w:tc>
        <w:tc>
          <w:tcPr>
            <w:tcW w:w="6486"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Шум'яцька Олександра Михайлівна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д</w:t>
            </w:r>
            <w:r>
              <w:rPr>
                <w:rFonts w:ascii="Times New Roman" w:hAnsi="Times New Roman" w:cs="Times New Roman"/>
                <w:sz w:val="24"/>
                <w:szCs w:val="24"/>
              </w:rPr>
              <w:t>оцент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 роботи</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Електронна адреса</w:t>
            </w:r>
          </w:p>
        </w:tc>
        <w:tc>
          <w:tcPr>
            <w:tcW w:w="6486" w:type="dxa"/>
          </w:tcPr>
          <w:p>
            <w:pPr>
              <w:spacing w:after="0" w:line="240" w:lineRule="auto"/>
              <w:rPr>
                <w:rFonts w:ascii="Times New Roman" w:hAnsi="Times New Roman" w:cs="Times New Roman"/>
                <w:sz w:val="24"/>
                <w:szCs w:val="24"/>
                <w:lang w:val="ru-RU"/>
              </w:rPr>
            </w:pPr>
            <w:r>
              <w:fldChar w:fldCharType="begin"/>
            </w:r>
            <w:r>
              <w:instrText xml:space="preserve"> HYPERLINK "mailto:oleksandra.shumiatska@lnu.edu.ua" </w:instrText>
            </w:r>
            <w:r>
              <w:fldChar w:fldCharType="separate"/>
            </w:r>
            <w:r>
              <w:rPr>
                <w:rStyle w:val="9"/>
                <w:rFonts w:ascii="Times New Roman" w:hAnsi="Times New Roman" w:cs="Times New Roman"/>
                <w:sz w:val="24"/>
                <w:szCs w:val="24"/>
                <w:lang w:val="ru-RU"/>
              </w:rPr>
              <w:t>oleksandra.shumiatska@lnu.edu.ua</w:t>
            </w:r>
            <w:r>
              <w:rPr>
                <w:rStyle w:val="9"/>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Сторінка викладача</w:t>
            </w:r>
          </w:p>
        </w:tc>
        <w:tc>
          <w:tcPr>
            <w:tcW w:w="6486" w:type="dxa"/>
          </w:tcPr>
          <w:p>
            <w:pPr>
              <w:spacing w:after="0" w:line="240" w:lineRule="auto"/>
              <w:rPr>
                <w:rFonts w:ascii="Times New Roman" w:hAnsi="Times New Roman" w:cs="Times New Roman"/>
                <w:b/>
                <w:sz w:val="24"/>
                <w:szCs w:val="24"/>
              </w:rPr>
            </w:pPr>
            <w:r>
              <w:fldChar w:fldCharType="begin"/>
            </w:r>
            <w:r>
              <w:instrText xml:space="preserve"> HYPERLINK "https://lingua.lnu.edu.ua/employee/shumyatska-oleksandra-myhajlivna" </w:instrText>
            </w:r>
            <w:r>
              <w:fldChar w:fldCharType="separate"/>
            </w:r>
            <w:r>
              <w:rPr>
                <w:rStyle w:val="9"/>
                <w:rFonts w:ascii="Times New Roman" w:hAnsi="Times New Roman" w:cs="Times New Roman"/>
                <w:sz w:val="24"/>
                <w:szCs w:val="24"/>
              </w:rPr>
              <w:t>https://lingua.lnu.edu.ua/employee/shumyatska-oleksandra-myhajlivna</w:t>
            </w:r>
            <w:r>
              <w:rPr>
                <w:rStyle w:val="9"/>
                <w:rFonts w:ascii="Times New Roman" w:hAnsi="Times New Roman" w:cs="Times New Roman"/>
                <w:sz w:val="24"/>
                <w:szCs w:val="24"/>
              </w:rPr>
              <w:fldChar w:fldCharType="end"/>
            </w:r>
            <w:r>
              <w:rPr>
                <w:rFonts w:ascii="Times New Roman" w:hAnsi="Times New Roman" w:cs="Times New Roman"/>
                <w:b/>
                <w:sz w:val="24"/>
                <w:szCs w:val="24"/>
              </w:rPr>
              <w:t xml:space="preserve"> </w:t>
            </w:r>
          </w:p>
        </w:tc>
      </w:tr>
    </w:tbl>
    <w:p>
      <w:pPr>
        <w:jc w:val="center"/>
        <w:rPr>
          <w:rFonts w:ascii="Times New Roman" w:hAnsi="Times New Roman" w:cs="Times New Roman"/>
          <w:b/>
          <w:sz w:val="24"/>
          <w:szCs w:val="24"/>
          <w:lang w:val="ru-RU"/>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КОНСУЛЬТАЦІЇ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Час</w:t>
            </w:r>
          </w:p>
        </w:tc>
        <w:tc>
          <w:tcPr>
            <w:tcW w:w="6486" w:type="dxa"/>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Щочетверга, 13.30-15.20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німецької філології (м. Львів, вул. Університетська, 1, каб. 417)</w:t>
            </w:r>
          </w:p>
        </w:tc>
      </w:tr>
    </w:tbl>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КУРС</w:t>
      </w:r>
    </w:p>
    <w:tbl>
      <w:tblPr>
        <w:tblStyle w:val="11"/>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Сторінка курсу</w:t>
            </w:r>
          </w:p>
        </w:tc>
        <w:tc>
          <w:tcPr>
            <w:tcW w:w="7229" w:type="dxa"/>
          </w:tcPr>
          <w:p>
            <w:pPr>
              <w:spacing w:after="0" w:line="240" w:lineRule="auto"/>
              <w:jc w:val="both"/>
              <w:rPr>
                <w:rFonts w:ascii="Times New Roman" w:hAnsi="Times New Roman" w:cs="Times New Roman"/>
                <w:b/>
                <w:sz w:val="24"/>
                <w:szCs w:val="24"/>
                <w:lang w:val="ru-RU"/>
              </w:rPr>
            </w:pPr>
            <w:r>
              <w:fldChar w:fldCharType="begin"/>
            </w:r>
            <w:r>
              <w:instrText xml:space="preserve"> HYPERLINK "https://lingua.lnu.edu.ua/department/mizhkulturnoji-komunikatsiji-ta-perekladu" </w:instrText>
            </w:r>
            <w:r>
              <w:fldChar w:fldCharType="separate"/>
            </w:r>
            <w:r>
              <w:rPr>
                <w:rStyle w:val="9"/>
                <w:rFonts w:ascii="Times New Roman" w:hAnsi="Times New Roman" w:cs="Times New Roman"/>
                <w:sz w:val="24"/>
                <w:szCs w:val="24"/>
              </w:rPr>
              <w:t>https://lingua.lnu.edu.ua/department/mizhkulturnoji-komunikatsiji-ta-perekladu</w:t>
            </w:r>
            <w:r>
              <w:rPr>
                <w:rStyle w:val="9"/>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c>
          <w:tcPr>
            <w:tcW w:w="2694"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Коротка анотація курсу</w:t>
            </w:r>
          </w:p>
        </w:tc>
        <w:tc>
          <w:tcPr>
            <w:tcW w:w="7229"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Дисципліна «</w:t>
            </w:r>
            <w:r>
              <w:rPr>
                <w:rFonts w:ascii="Times New Roman" w:hAnsi="Times New Roman" w:cs="Times New Roman"/>
                <w:bCs/>
                <w:sz w:val="24"/>
                <w:szCs w:val="24"/>
              </w:rPr>
              <w:t>Методика навчання іноземної мови</w:t>
            </w:r>
            <w:r>
              <w:rPr>
                <w:rFonts w:ascii="Times New Roman" w:hAnsi="Times New Roman" w:cs="Times New Roman"/>
                <w:sz w:val="24"/>
                <w:szCs w:val="24"/>
              </w:rPr>
              <w:t>» є нормативною дисципліною зі спеціальності 035 Філологія для освітньої програми ОС «бакалавр», яка викладається в 7 семестрі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rPr>
              <w:t>Мета та цілі курсу</w:t>
            </w:r>
          </w:p>
        </w:tc>
        <w:tc>
          <w:tcPr>
            <w:tcW w:w="7229"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засвоєння студентами теорії й практики викладання/навчання іноземної мови, формування і розвиток професійної компетенції майбутніх вчителів та викладачів іноземних мов.</w:t>
            </w:r>
          </w:p>
          <w:p>
            <w:pPr>
              <w:pStyle w:val="13"/>
              <w:jc w:val="both"/>
              <w:rPr>
                <w:rFonts w:ascii="Times New Roman" w:hAnsi="Times New Roman"/>
                <w:sz w:val="24"/>
                <w:szCs w:val="24"/>
              </w:rPr>
            </w:pPr>
            <w:r>
              <w:rPr>
                <w:rFonts w:ascii="Times New Roman" w:hAnsi="Times New Roman"/>
                <w:b/>
                <w:bCs/>
                <w:i/>
                <w:iCs/>
                <w:sz w:val="24"/>
                <w:szCs w:val="24"/>
              </w:rPr>
              <w:t>З</w:t>
            </w:r>
            <w:r>
              <w:rPr>
                <w:rFonts w:ascii="Times New Roman" w:hAnsi="Times New Roman"/>
                <w:b/>
                <w:i/>
                <w:sz w:val="24"/>
                <w:szCs w:val="24"/>
              </w:rPr>
              <w:t>авдання</w:t>
            </w:r>
            <w:r>
              <w:rPr>
                <w:rFonts w:ascii="Times New Roman" w:hAnsi="Times New Roman"/>
                <w:sz w:val="24"/>
                <w:szCs w:val="24"/>
              </w:rPr>
              <w:t xml:space="preserve"> курсу – ознайомити студентів із теоретичними основами методики навчання іноземних мов; розвивати навички та вміння навчальної роботи з формування комунікативної компетенції учнів на основі програми з іноземної мови середньої загальноосвітньої школи; навчити ефективної підготовки до уроку як основної форми навчального процесу; сформувати уміння здійснення контролю рівня сформованості знань, умінь і  навичок учнів; навчити ефективного використання методів, прийомів та засобів навчання іноземної мови відповідно до етапу навчання; навчити раціонального планування навчального процесу, у тому числі, уроку як одного з його компонентів; ознайомити студентів із формами і видами позаурочної діяльності з іноземної мови, яка сприяла б успішному виконанню загальної мети навчання іноземної мови; навчити творчого аналізу чинних підручників іноземних мов та ефективного використання їх у навчальному процесі.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229" w:type="dxa"/>
          </w:tcPr>
          <w:p>
            <w:pPr>
              <w:spacing w:after="0" w:line="240" w:lineRule="auto"/>
              <w:jc w:val="center"/>
              <w:rPr>
                <w:rFonts w:ascii="Times New Roman" w:hAnsi="Times New Roman" w:cs="Times New Roman"/>
                <w:b/>
                <w:bCs/>
                <w:iCs/>
                <w:spacing w:val="-6"/>
                <w:sz w:val="24"/>
                <w:szCs w:val="24"/>
              </w:rPr>
            </w:pPr>
            <w:r>
              <w:rPr>
                <w:rFonts w:ascii="Times New Roman" w:hAnsi="Times New Roman" w:cs="Times New Roman"/>
                <w:b/>
                <w:bCs/>
                <w:iCs/>
                <w:spacing w:val="-6"/>
                <w:sz w:val="24"/>
                <w:szCs w:val="24"/>
              </w:rPr>
              <w:t>Основна</w:t>
            </w:r>
          </w:p>
          <w:p>
            <w:pPr>
              <w:pStyle w:val="19"/>
              <w:numPr>
                <w:ilvl w:val="3"/>
                <w:numId w:val="1"/>
              </w:numPr>
              <w:spacing w:after="23"/>
              <w:ind w:left="318"/>
              <w:rPr>
                <w:iCs/>
              </w:rPr>
            </w:pPr>
            <w:r>
              <w:rPr>
                <w:iCs/>
              </w:rPr>
              <w:t xml:space="preserve">Загальноєвропейські Рекомендації з мовної освіти: вивчення, викладання, оцінювання / Наук. ред. укр. видання С. Ю. Ніколаєва. Переклад з англ. – К.: Ленвіт, 2003. – 273 с. </w:t>
            </w:r>
          </w:p>
          <w:p>
            <w:pPr>
              <w:pStyle w:val="19"/>
              <w:numPr>
                <w:ilvl w:val="3"/>
                <w:numId w:val="1"/>
              </w:numPr>
              <w:spacing w:after="23"/>
              <w:ind w:left="318"/>
              <w:rPr>
                <w:iCs/>
              </w:rPr>
            </w:pPr>
            <w:r>
              <w:rPr>
                <w:iCs/>
              </w:rPr>
              <w:t>Критерії оцінювання навчальних досягнень учнів у системі загальної середньої освіти. 12-бальна система. – К., 2000. – 126 с.</w:t>
            </w:r>
          </w:p>
          <w:p>
            <w:pPr>
              <w:pStyle w:val="19"/>
              <w:numPr>
                <w:ilvl w:val="3"/>
                <w:numId w:val="1"/>
              </w:numPr>
              <w:spacing w:after="23"/>
              <w:ind w:left="318"/>
              <w:rPr>
                <w:iCs/>
              </w:rPr>
            </w:pPr>
            <w:r>
              <w:rPr>
                <w:iCs/>
              </w:rPr>
              <w:t xml:space="preserve">Панова Л. С. Методика навчання іноземних мов у загальноосвітніх навчальних закладах: підручник / Л. С. Панова, І. Ф. Андрійко, С. В. Тезікова та ін. – К.:ВЦ «Академія», 2010. – 328с. </w:t>
            </w:r>
          </w:p>
          <w:p>
            <w:pPr>
              <w:pStyle w:val="19"/>
              <w:numPr>
                <w:ilvl w:val="3"/>
                <w:numId w:val="1"/>
              </w:numPr>
              <w:spacing w:after="23"/>
              <w:ind w:left="318"/>
              <w:rPr>
                <w:iCs/>
              </w:rPr>
            </w:pPr>
            <w:r>
              <w:rPr>
                <w:iCs/>
              </w:rPr>
              <w:t>Ballweg S. u. a. DLL 02: Wie lernt man die Fremdsprache Deutsch?: Buch mit DVD (dll - deutsch lehren lernen: Fort- und Weiterbildung weltweit). – Stuttgart: Ernst Klett Sprachen, 2013. – 198 S.</w:t>
            </w:r>
          </w:p>
          <w:p>
            <w:pPr>
              <w:pStyle w:val="19"/>
              <w:numPr>
                <w:ilvl w:val="3"/>
                <w:numId w:val="1"/>
              </w:numPr>
              <w:spacing w:after="23"/>
              <w:ind w:left="318"/>
              <w:rPr>
                <w:iCs/>
              </w:rPr>
            </w:pPr>
            <w:r>
              <w:rPr>
                <w:iCs/>
              </w:rPr>
              <w:t>Ende K. u. a. DLL 06: Curriculare Vorgaben und Unterrichtsplanung: Buch mit DVD (dll - deutsch lehren lernen: Fort- und Weiterbildung weltweit). – Stuttgart: Ernst Klett Sprachen, 2013. – 152 S.</w:t>
            </w:r>
          </w:p>
          <w:p>
            <w:pPr>
              <w:pStyle w:val="19"/>
              <w:numPr>
                <w:ilvl w:val="3"/>
                <w:numId w:val="1"/>
              </w:numPr>
              <w:spacing w:after="23"/>
              <w:ind w:left="318"/>
              <w:rPr>
                <w:iCs/>
              </w:rPr>
            </w:pPr>
            <w:r>
              <w:rPr>
                <w:iCs/>
              </w:rPr>
              <w:t>Funk H., Kuhn Chr. u. a. DLL 04: Aufgaben, Übungen, Interaktion: Buch mit Video-DVD (dll - deutsch lehren lernen: Fort- und Weiterbildung weltweit). – Stuttgart: Ernst Klett Sprachen, 2017. – 184 S.</w:t>
            </w:r>
          </w:p>
          <w:p>
            <w:pPr>
              <w:pStyle w:val="19"/>
              <w:numPr>
                <w:ilvl w:val="3"/>
                <w:numId w:val="1"/>
              </w:numPr>
              <w:spacing w:after="23"/>
              <w:ind w:left="318"/>
              <w:rPr>
                <w:iCs/>
              </w:rPr>
            </w:pPr>
            <w:r>
              <w:rPr>
                <w:iCs/>
              </w:rPr>
              <w:t>Grotjahn R., Kleppin K. DLL 07: Prüfen, Testen, Evaluieren: Buch mit DVD (dll - deutsch lehren lernen: Fort- und Weiterbildung weltweit). – Stuttgart: Ernst Klett Sprachen, 2015. – 176 S.</w:t>
            </w:r>
          </w:p>
          <w:p>
            <w:pPr>
              <w:pStyle w:val="19"/>
              <w:numPr>
                <w:ilvl w:val="3"/>
                <w:numId w:val="1"/>
              </w:numPr>
              <w:spacing w:after="23"/>
              <w:ind w:left="318"/>
              <w:rPr>
                <w:iCs/>
              </w:rPr>
            </w:pPr>
            <w:r>
              <w:rPr>
                <w:iCs/>
              </w:rPr>
              <w:t>Helbig G. u. a. Deutsch als Fremdsprache. – Berlin: Walter de Gruyter, 2008. – 958 S.</w:t>
            </w:r>
          </w:p>
          <w:p>
            <w:pPr>
              <w:spacing w:after="0" w:line="240" w:lineRule="auto"/>
              <w:jc w:val="center"/>
              <w:rPr>
                <w:rFonts w:ascii="Times New Roman" w:hAnsi="Times New Roman" w:cs="Times New Roman"/>
                <w:b/>
                <w:bCs/>
                <w:iCs/>
                <w:spacing w:val="-6"/>
                <w:sz w:val="24"/>
                <w:szCs w:val="24"/>
              </w:rPr>
            </w:pPr>
            <w:r>
              <w:rPr>
                <w:rFonts w:ascii="Times New Roman" w:hAnsi="Times New Roman" w:cs="Times New Roman"/>
                <w:b/>
                <w:bCs/>
                <w:iCs/>
                <w:spacing w:val="-6"/>
                <w:sz w:val="24"/>
                <w:szCs w:val="24"/>
              </w:rPr>
              <w:t>Додаткова</w:t>
            </w:r>
          </w:p>
          <w:p>
            <w:pPr>
              <w:pStyle w:val="19"/>
              <w:numPr>
                <w:ilvl w:val="3"/>
                <w:numId w:val="2"/>
              </w:numPr>
              <w:spacing w:after="23"/>
              <w:ind w:left="318"/>
              <w:rPr>
                <w:iCs/>
                <w:lang w:val="de-DE"/>
              </w:rPr>
            </w:pPr>
            <w:r>
              <w:rPr>
                <w:iCs/>
                <w:lang w:val="de-DE"/>
              </w:rPr>
              <w:t>Barkowski H. u. a. DLL 03: Deutsch als fremde Sprache: Buch mit DVD (dll - deutsch lehren lernen: Fort- und Weiterbildung weltweit). – Stuttgart: Ernst Klett Sprachen, 2013. – 200 S.</w:t>
            </w:r>
          </w:p>
          <w:p>
            <w:pPr>
              <w:pStyle w:val="19"/>
              <w:numPr>
                <w:ilvl w:val="3"/>
                <w:numId w:val="2"/>
              </w:numPr>
              <w:spacing w:after="23"/>
              <w:ind w:left="318"/>
              <w:rPr>
                <w:iCs/>
                <w:lang w:val="de-DE"/>
              </w:rPr>
            </w:pPr>
            <w:r>
              <w:rPr>
                <w:iCs/>
                <w:lang w:val="de-DE"/>
              </w:rPr>
              <w:t>Gehring W. Fremdsprache Deutsch unterrichten: Kompetenzorientierte Methoden für DaF und DaZ. – Stuttgart: utb GmbH, 2018. – 253 S.</w:t>
            </w:r>
          </w:p>
          <w:p>
            <w:pPr>
              <w:pStyle w:val="19"/>
              <w:numPr>
                <w:ilvl w:val="3"/>
                <w:numId w:val="2"/>
              </w:numPr>
              <w:spacing w:after="23"/>
              <w:ind w:left="318"/>
              <w:rPr>
                <w:iCs/>
                <w:lang w:val="de-DE"/>
              </w:rPr>
            </w:pPr>
            <w:r>
              <w:rPr>
                <w:iCs/>
                <w:lang w:val="de-DE"/>
              </w:rPr>
              <w:t>Lundquist-Mog A., Widlok B. DLL 08: DaF für Kinder: Buch mit DVD (dll - deutsch lehren lernen: Fort- und Weiterbildung weltweit). – Stuttgart: Ernst Klett Sprachen, 2015. – 200 S.</w:t>
            </w:r>
          </w:p>
          <w:p>
            <w:pPr>
              <w:pStyle w:val="19"/>
              <w:numPr>
                <w:ilvl w:val="3"/>
                <w:numId w:val="2"/>
              </w:numPr>
              <w:spacing w:after="23"/>
              <w:ind w:left="318"/>
              <w:rPr>
                <w:iCs/>
                <w:lang w:val="de-DE"/>
              </w:rPr>
            </w:pPr>
            <w:r>
              <w:rPr>
                <w:iCs/>
                <w:lang w:val="de-DE"/>
              </w:rPr>
              <w:t>Mohr I., Salomo D. DLL 10: DaF für Jugendliche: Buch mit DVD (dll - deutsch lehren lernen: Fort- und Weiterbildung weltweit). – Stuttgart: Ernst Klett Sprachen, 2016. – 199 S.</w:t>
            </w:r>
          </w:p>
          <w:p>
            <w:pPr>
              <w:spacing w:after="0" w:line="240" w:lineRule="auto"/>
              <w:ind w:left="374"/>
              <w:rPr>
                <w:rFonts w:ascii="Times New Roman" w:hAnsi="Times New Roman" w:cs="Times New Roman"/>
                <w:bCs/>
                <w:iCs/>
                <w:spacing w:val="-6"/>
                <w:sz w:val="24"/>
              </w:rPr>
            </w:pPr>
          </w:p>
          <w:p>
            <w:pPr>
              <w:spacing w:after="0" w:line="240" w:lineRule="auto"/>
              <w:jc w:val="center"/>
              <w:rPr>
                <w:rFonts w:ascii="Times New Roman" w:hAnsi="Times New Roman" w:cs="Times New Roman"/>
                <w:b/>
                <w:bCs/>
                <w:iCs/>
                <w:spacing w:val="-6"/>
                <w:sz w:val="24"/>
              </w:rPr>
            </w:pPr>
            <w:r>
              <w:rPr>
                <w:rFonts w:ascii="Times New Roman" w:hAnsi="Times New Roman" w:cs="Times New Roman"/>
                <w:b/>
                <w:bCs/>
                <w:iCs/>
                <w:spacing w:val="-6"/>
                <w:sz w:val="24"/>
              </w:rPr>
              <w:t>Інтернет-ресурси</w:t>
            </w:r>
          </w:p>
          <w:p>
            <w:pPr>
              <w:pStyle w:val="14"/>
              <w:numPr>
                <w:ilvl w:val="0"/>
                <w:numId w:val="3"/>
              </w:numPr>
              <w:spacing w:after="0" w:line="240" w:lineRule="auto"/>
              <w:ind w:left="460"/>
              <w:jc w:val="both"/>
              <w:rPr>
                <w:rFonts w:ascii="Times New Roman" w:hAnsi="Times New Roman" w:cs="Times New Roman"/>
                <w:iCs/>
              </w:rPr>
            </w:pPr>
            <w:r>
              <w:rPr>
                <w:rFonts w:ascii="Times New Roman" w:hAnsi="Times New Roman" w:cs="Times New Roman"/>
                <w:iCs/>
              </w:rPr>
              <w:t>http://www.europaeischer-referenzrahmen.de/</w:t>
            </w:r>
          </w:p>
          <w:p>
            <w:pPr>
              <w:pStyle w:val="14"/>
              <w:numPr>
                <w:ilvl w:val="0"/>
                <w:numId w:val="3"/>
              </w:numPr>
              <w:spacing w:after="0" w:line="240" w:lineRule="auto"/>
              <w:ind w:left="460"/>
              <w:jc w:val="both"/>
              <w:rPr>
                <w:rFonts w:ascii="Times New Roman" w:hAnsi="Times New Roman" w:cs="Times New Roman"/>
                <w:iCs/>
              </w:rPr>
            </w:pPr>
            <w:r>
              <w:rPr>
                <w:rFonts w:ascii="Times New Roman" w:hAnsi="Times New Roman" w:cs="Times New Roman"/>
                <w:iCs/>
              </w:rPr>
              <w:t>http://www.fachdidaktik-einecke.de/</w:t>
            </w:r>
          </w:p>
          <w:p>
            <w:pPr>
              <w:pStyle w:val="14"/>
              <w:numPr>
                <w:ilvl w:val="0"/>
                <w:numId w:val="3"/>
              </w:numPr>
              <w:spacing w:after="0" w:line="240" w:lineRule="auto"/>
              <w:ind w:left="460"/>
              <w:jc w:val="both"/>
              <w:rPr>
                <w:rFonts w:ascii="Times New Roman" w:hAnsi="Times New Roman" w:cs="Times New Roman"/>
                <w:iCs/>
              </w:rPr>
            </w:pPr>
            <w:r>
              <w:rPr>
                <w:rFonts w:ascii="Times New Roman" w:hAnsi="Times New Roman" w:cs="Times New Roman"/>
                <w:iCs/>
              </w:rPr>
              <w:t>https://www.goethe.de/de/spr/unt/for/kur/mud/erw/dmd.html</w:t>
            </w:r>
          </w:p>
          <w:p>
            <w:pPr>
              <w:pStyle w:val="14"/>
              <w:numPr>
                <w:ilvl w:val="0"/>
                <w:numId w:val="3"/>
              </w:numPr>
              <w:spacing w:after="0" w:line="240" w:lineRule="auto"/>
              <w:ind w:left="460"/>
              <w:jc w:val="both"/>
              <w:rPr>
                <w:rFonts w:ascii="Times New Roman" w:hAnsi="Times New Roman" w:cs="Times New Roman"/>
                <w:iCs/>
              </w:rPr>
            </w:pPr>
            <w:r>
              <w:rPr>
                <w:rFonts w:ascii="Times New Roman" w:hAnsi="Times New Roman" w:cs="Times New Roman"/>
                <w:iCs/>
              </w:rPr>
              <w:t xml:space="preserve">https://sprache-ist-integration.de/die-vier-fertigkeiten/ </w:t>
            </w:r>
          </w:p>
          <w:p>
            <w:pPr>
              <w:pStyle w:val="14"/>
              <w:numPr>
                <w:ilvl w:val="0"/>
                <w:numId w:val="3"/>
              </w:numPr>
              <w:spacing w:after="0" w:line="240" w:lineRule="auto"/>
              <w:ind w:left="460"/>
              <w:jc w:val="both"/>
              <w:rPr>
                <w:rFonts w:ascii="Times New Roman" w:hAnsi="Times New Roman" w:cs="Times New Roman"/>
                <w:iCs/>
              </w:rPr>
            </w:pPr>
            <w:r>
              <w:rPr>
                <w:rFonts w:ascii="Times New Roman" w:hAnsi="Times New Roman" w:cs="Times New Roman"/>
                <w:iCs/>
              </w:rPr>
              <w:t>https://www1.ids-mannheim.de/</w:t>
            </w:r>
          </w:p>
          <w:p>
            <w:pPr>
              <w:pStyle w:val="14"/>
              <w:numPr>
                <w:ilvl w:val="0"/>
                <w:numId w:val="3"/>
              </w:numPr>
              <w:spacing w:after="0" w:line="240" w:lineRule="auto"/>
              <w:ind w:left="460"/>
              <w:jc w:val="both"/>
              <w:rPr>
                <w:rFonts w:ascii="Times New Roman" w:hAnsi="Times New Roman" w:cs="Times New Roman"/>
                <w:iCs/>
              </w:rPr>
            </w:pPr>
            <w:r>
              <w:rPr>
                <w:rFonts w:ascii="Times New Roman" w:hAnsi="Times New Roman" w:cs="Times New Roman"/>
                <w:iCs/>
              </w:rPr>
              <w:t>https://www.lmz-bw.de/medien-und-bildung/mediaculture-online/</w:t>
            </w:r>
          </w:p>
          <w:p>
            <w:pPr>
              <w:pStyle w:val="14"/>
              <w:numPr>
                <w:ilvl w:val="0"/>
                <w:numId w:val="3"/>
              </w:numPr>
              <w:spacing w:after="0" w:line="240" w:lineRule="auto"/>
              <w:ind w:left="460"/>
              <w:jc w:val="both"/>
              <w:rPr>
                <w:rFonts w:ascii="Times New Roman" w:hAnsi="Times New Roman" w:cs="Times New Roman"/>
                <w:iCs/>
              </w:rPr>
            </w:pPr>
            <w:r>
              <w:rPr>
                <w:rFonts w:ascii="Times New Roman" w:hAnsi="Times New Roman" w:cs="Times New Roman"/>
                <w:iCs/>
              </w:rPr>
              <w:t xml:space="preserve">http://www.duonline.de/index.html </w:t>
            </w:r>
          </w:p>
          <w:p>
            <w:pPr>
              <w:pStyle w:val="14"/>
              <w:spacing w:after="0" w:line="240" w:lineRule="auto"/>
              <w:ind w:left="460"/>
              <w:jc w:val="both"/>
              <w:rPr>
                <w:rFonts w:ascii="Times New Roman" w:hAnsi="Times New Roman" w:cs="Times New Roman"/>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22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семестр (</w:t>
            </w:r>
            <w:r>
              <w:rPr>
                <w:rFonts w:ascii="Times New Roman" w:hAnsi="Times New Roman" w:cs="Times New Roman"/>
                <w:sz w:val="24"/>
                <w:szCs w:val="24"/>
                <w:lang w:val="de-DE"/>
              </w:rPr>
              <w:t>7</w:t>
            </w:r>
            <w:r>
              <w:rPr>
                <w:rFonts w:ascii="Times New Roman" w:hAnsi="Times New Roman" w:cs="Times New Roman"/>
                <w:sz w:val="24"/>
                <w:szCs w:val="24"/>
              </w:rPr>
              <w:t>)</w:t>
            </w:r>
            <w:r>
              <w:rPr>
                <w:rFonts w:ascii="Times New Roman" w:hAnsi="Times New Roman" w:cs="Times New Roman"/>
                <w:sz w:val="24"/>
                <w:szCs w:val="24"/>
                <w:lang w:val="de-DE"/>
              </w:rPr>
              <w:t xml:space="preserve">, </w:t>
            </w:r>
            <w:r>
              <w:rPr>
                <w:rFonts w:ascii="Times New Roman" w:hAnsi="Times New Roman" w:cs="Times New Roman"/>
                <w:sz w:val="24"/>
                <w:szCs w:val="24"/>
              </w:rPr>
              <w:t>90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229"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Загальна кількість годин – 90</w:t>
            </w:r>
            <w:r>
              <w:rPr>
                <w:rFonts w:ascii="Times New Roman" w:hAnsi="Times New Roman" w:cs="Times New Roman"/>
                <w:sz w:val="24"/>
                <w:szCs w:val="24"/>
                <w:lang w:val="ru-RU"/>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години аудиторних занять, з них </w:t>
            </w:r>
            <w:r>
              <w:rPr>
                <w:rFonts w:ascii="Times New Roman" w:hAnsi="Times New Roman" w:cs="Times New Roman"/>
                <w:sz w:val="24"/>
                <w:szCs w:val="24"/>
                <w:lang w:val="ru-RU"/>
              </w:rPr>
              <w:t>20</w:t>
            </w:r>
            <w:r>
              <w:rPr>
                <w:rFonts w:ascii="Times New Roman" w:hAnsi="Times New Roman" w:cs="Times New Roman"/>
                <w:sz w:val="24"/>
                <w:szCs w:val="24"/>
              </w:rPr>
              <w:t xml:space="preserve"> годин лекцій, </w:t>
            </w:r>
            <w:r>
              <w:rPr>
                <w:rFonts w:ascii="Times New Roman" w:hAnsi="Times New Roman" w:cs="Times New Roman"/>
                <w:sz w:val="24"/>
                <w:szCs w:val="24"/>
                <w:lang w:val="ru-RU"/>
              </w:rPr>
              <w:t>12</w:t>
            </w:r>
            <w:r>
              <w:rPr>
                <w:rFonts w:ascii="Times New Roman" w:hAnsi="Times New Roman" w:cs="Times New Roman"/>
                <w:sz w:val="24"/>
                <w:szCs w:val="24"/>
              </w:rPr>
              <w:t xml:space="preserve"> годин практичних занять. 58 годин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229"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знати</w:t>
            </w:r>
            <w:r>
              <w:rPr>
                <w:rFonts w:ascii="Times New Roman" w:hAnsi="Times New Roman" w:cs="Times New Roman"/>
                <w:sz w:val="24"/>
              </w:rPr>
              <w:t>:</w:t>
            </w:r>
          </w:p>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основні поняття і категорії методики навчання іноземних мов; навчально-методичні комплекси з іноземних мов; теорію завдань і вправ для навчання іноземних мов; сучасні підходи до формування в учнів іншомовної комунікативної компетенції; інноваційні методичні технології навчання іноземних мов; форми, види і способи контролю і оцінювання рівня сформованості мовних, мовленнєвих, лінгвосоціокультурної і навчально-стратегічної компетенцій; основні організаційні форми реалізації навчально-виховного процесу з навчання іноземних мов і культур у загальноосвітніх навчальних закладах різних типів; основи планування навчально-виховного процесу з іноземної мови у початковій, основній і старшій школі.</w:t>
            </w:r>
          </w:p>
          <w:p>
            <w:pPr>
              <w:tabs>
                <w:tab w:val="left" w:pos="284"/>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вміти</w:t>
            </w:r>
            <w:r>
              <w:rPr>
                <w:rFonts w:ascii="Times New Roman" w:hAnsi="Times New Roman" w:cs="Times New Roman"/>
                <w:sz w:val="24"/>
              </w:rPr>
              <w:t>: визначати й аналізувати цілі, зміст, принципи, методи і прийоми навчання іноземної мови; аналізувати, обирати й ефективно використовувати навчально-методичні комплекси з іноземної мови; аналізувати, обирати й ефективно використовувати вправи різних типів і видів; формувати в учнів іншомовну комунікативну компетенцію; використовувати у процесі формування іншомовної комунікативної компетенції інноваційні методичні технології; контролювати і оцінювати рівень сформованості всіх складників іншомовної комунікативної компетенції; планувати й реалізовувати різні форми організації навчально-виховного процесу з іноземної мови в початковій, основній і старшій школі.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дидактика, уміння, навички, аудіювання, письмо, усне мовлення, читання, соціальні форми.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лекцій,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Іспит в кінці семестру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Іспит проводиться у формі співбесіди з екзаменатором.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«Перша іноземна мова», «Педагогіка», «Вступ до мовознавства», достатніх для сприйняття категоріального апарату в рамках дисципліни «Граматичні аспекти перекладу».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і проектор.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229" w:type="dxa"/>
          </w:tcPr>
          <w:p>
            <w:pPr>
              <w:pStyle w:val="21"/>
              <w:spacing w:before="0" w:beforeAutospacing="0" w:after="0" w:afterAutospacing="0"/>
              <w:jc w:val="both"/>
              <w:textAlignment w:val="baseline"/>
              <w:rPr>
                <w:rFonts w:ascii="Segoe UI" w:hAnsi="Segoe UI" w:cs="Segoe UI"/>
                <w:sz w:val="18"/>
                <w:szCs w:val="18"/>
              </w:rPr>
            </w:pPr>
            <w:r>
              <w:rPr>
                <w:rStyle w:val="22"/>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w:t>
            </w:r>
            <w:r>
              <w:rPr>
                <w:rStyle w:val="22"/>
                <w:rFonts w:ascii="Calibri" w:hAnsi="Calibri" w:cs="Calibri"/>
                <w:sz w:val="22"/>
                <w:szCs w:val="22"/>
              </w:rPr>
              <w:t> </w:t>
            </w:r>
            <w:r>
              <w:rPr>
                <w:rStyle w:val="22"/>
              </w:rPr>
              <w:t>результати поточного модульного контролю та іспит у формі  співбесіди з екзаменатором. </w:t>
            </w:r>
            <w:r>
              <w:rPr>
                <w:rStyle w:val="23"/>
                <w:rFonts w:eastAsiaTheme="majorEastAsia"/>
              </w:rPr>
              <w:t> </w:t>
            </w:r>
          </w:p>
          <w:p>
            <w:pPr>
              <w:pStyle w:val="21"/>
              <w:spacing w:before="0" w:beforeAutospacing="0" w:after="0" w:afterAutospacing="0"/>
              <w:jc w:val="both"/>
              <w:textAlignment w:val="baseline"/>
              <w:rPr>
                <w:rFonts w:ascii="Segoe UI" w:hAnsi="Segoe UI" w:cs="Segoe UI"/>
                <w:sz w:val="18"/>
                <w:szCs w:val="18"/>
              </w:rPr>
            </w:pPr>
            <w:r>
              <w:rPr>
                <w:rStyle w:val="22"/>
              </w:rPr>
              <w:t>Бали нараховуються за наступним співвідношенням: </w:t>
            </w:r>
            <w:r>
              <w:rPr>
                <w:rStyle w:val="23"/>
                <w:rFonts w:eastAsiaTheme="majorEastAsia"/>
              </w:rPr>
              <w:t> </w:t>
            </w:r>
          </w:p>
          <w:p>
            <w:pPr>
              <w:pStyle w:val="21"/>
              <w:spacing w:before="0" w:beforeAutospacing="0" w:after="0" w:afterAutospacing="0"/>
              <w:jc w:val="both"/>
              <w:textAlignment w:val="baseline"/>
              <w:rPr>
                <w:rFonts w:ascii="Segoe UI" w:hAnsi="Segoe UI" w:cs="Segoe UI"/>
                <w:sz w:val="18"/>
                <w:szCs w:val="18"/>
              </w:rPr>
            </w:pPr>
            <w:r>
              <w:rPr>
                <w:rStyle w:val="22"/>
              </w:rPr>
              <w:t>Підсумковий модуль у формі  співбесіди з екзаменатором (макс.50 балів) + результати поточного модульного контролю (макс.50 балів) = 100 балів)</w:t>
            </w:r>
            <w:r>
              <w:rPr>
                <w:rStyle w:val="23"/>
                <w:rFonts w:eastAsiaTheme="majorEastAsia"/>
              </w:rPr>
              <w:t> </w:t>
            </w:r>
          </w:p>
          <w:p>
            <w:pPr>
              <w:tabs>
                <w:tab w:val="left" w:pos="284"/>
                <w:tab w:val="left" w:pos="567"/>
              </w:tabs>
              <w:spacing w:after="0" w:line="240" w:lineRule="auto"/>
              <w:jc w:val="both"/>
              <w:rPr>
                <w:rFonts w:ascii="Times New Roman" w:hAnsi="Times New Roman" w:cs="Times New Roman"/>
                <w:sz w:val="24"/>
                <w:szCs w:val="24"/>
              </w:rPr>
            </w:pPr>
          </w:p>
          <w:p>
            <w:pPr>
              <w:pStyle w:val="6"/>
              <w:jc w:val="center"/>
              <w:rPr>
                <w:b/>
                <w:bCs/>
                <w:sz w:val="24"/>
                <w:lang w:val="uk-UA"/>
              </w:rPr>
            </w:pPr>
            <w:r>
              <w:rPr>
                <w:b/>
                <w:bCs/>
                <w:sz w:val="24"/>
                <w:lang w:val="uk-UA"/>
              </w:rPr>
              <w:t>Шкала оцінювання модульної контрольної роботи</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4"/>
              <w:gridCol w:w="3569"/>
            </w:tblGrid>
            <w:tr>
              <w:tc>
                <w:tcPr>
                  <w:tcW w:w="4261" w:type="dxa"/>
                </w:tcPr>
                <w:p>
                  <w:pPr>
                    <w:pStyle w:val="6"/>
                    <w:rPr>
                      <w:b/>
                      <w:bCs/>
                      <w:sz w:val="24"/>
                      <w:lang w:val="uk-UA"/>
                    </w:rPr>
                  </w:pPr>
                  <w:r>
                    <w:rPr>
                      <w:b/>
                      <w:bCs/>
                      <w:sz w:val="24"/>
                      <w:lang w:val="uk-UA"/>
                    </w:rPr>
                    <w:t>Кількість балів</w:t>
                  </w:r>
                </w:p>
              </w:tc>
              <w:tc>
                <w:tcPr>
                  <w:tcW w:w="4261" w:type="dxa"/>
                </w:tcPr>
                <w:p>
                  <w:pPr>
                    <w:pStyle w:val="6"/>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10</w:t>
                  </w:r>
                </w:p>
              </w:tc>
              <w:tc>
                <w:tcPr>
                  <w:tcW w:w="4261" w:type="dxa"/>
                </w:tcPr>
                <w:p>
                  <w:pPr>
                    <w:pStyle w:val="6"/>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9</w:t>
                  </w:r>
                </w:p>
              </w:tc>
              <w:tc>
                <w:tcPr>
                  <w:tcW w:w="4261" w:type="dxa"/>
                </w:tcPr>
                <w:p>
                  <w:pPr>
                    <w:pStyle w:val="6"/>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8</w:t>
                  </w:r>
                </w:p>
              </w:tc>
              <w:tc>
                <w:tcPr>
                  <w:tcW w:w="4261" w:type="dxa"/>
                </w:tcPr>
                <w:p>
                  <w:pPr>
                    <w:pStyle w:val="6"/>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7</w:t>
                  </w:r>
                </w:p>
              </w:tc>
              <w:tc>
                <w:tcPr>
                  <w:tcW w:w="4261" w:type="dxa"/>
                </w:tcPr>
                <w:p>
                  <w:pPr>
                    <w:pStyle w:val="6"/>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6</w:t>
                  </w:r>
                </w:p>
              </w:tc>
              <w:tc>
                <w:tcPr>
                  <w:tcW w:w="4261" w:type="dxa"/>
                </w:tcPr>
                <w:p>
                  <w:pPr>
                    <w:pStyle w:val="6"/>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5</w:t>
                  </w:r>
                </w:p>
              </w:tc>
              <w:tc>
                <w:tcPr>
                  <w:tcW w:w="4261" w:type="dxa"/>
                </w:tcPr>
                <w:p>
                  <w:pPr>
                    <w:pStyle w:val="6"/>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4</w:t>
                  </w:r>
                </w:p>
              </w:tc>
              <w:tc>
                <w:tcPr>
                  <w:tcW w:w="4261" w:type="dxa"/>
                </w:tcPr>
                <w:p>
                  <w:pPr>
                    <w:pStyle w:val="6"/>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3</w:t>
                  </w:r>
                </w:p>
              </w:tc>
              <w:tc>
                <w:tcPr>
                  <w:tcW w:w="4261" w:type="dxa"/>
                </w:tcPr>
                <w:p>
                  <w:pPr>
                    <w:pStyle w:val="6"/>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2</w:t>
                  </w:r>
                </w:p>
              </w:tc>
              <w:tc>
                <w:tcPr>
                  <w:tcW w:w="4261" w:type="dxa"/>
                </w:tcPr>
                <w:p>
                  <w:pPr>
                    <w:pStyle w:val="6"/>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1</w:t>
                  </w:r>
                </w:p>
              </w:tc>
              <w:tc>
                <w:tcPr>
                  <w:tcW w:w="4261" w:type="dxa"/>
                </w:tcPr>
                <w:p>
                  <w:pPr>
                    <w:pStyle w:val="6"/>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0</w:t>
                  </w:r>
                </w:p>
              </w:tc>
              <w:tc>
                <w:tcPr>
                  <w:tcW w:w="4261" w:type="dxa"/>
                </w:tcPr>
                <w:p>
                  <w:pPr>
                    <w:pStyle w:val="6"/>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«Граматичні аспекти перекладу». Зміст СРС з дисципліни «Граматичні аспекти перекладу»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тренування перекладацьких навичок на основі вільного вибору матеріалів; підготовка до контрольних робіт. Очікується, що протягом семестру кожен студент представить викладачеві щонайменше 2 роботи, передбачені планом на самостійне виконання.</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Відвідування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229" w:type="dxa"/>
          </w:tcPr>
          <w:p>
            <w:pPr>
              <w:tabs>
                <w:tab w:val="left" w:pos="284"/>
                <w:tab w:val="left" w:pos="567"/>
              </w:tabs>
              <w:spacing w:after="0" w:line="240" w:lineRule="auto"/>
              <w:jc w:val="both"/>
              <w:rPr>
                <w:rFonts w:ascii="Times New Roman" w:hAnsi="Times New Roman" w:eastAsia="TimesNewRoman" w:cs="Times New Roman"/>
                <w:sz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22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pStyle w:val="6"/>
        <w:ind w:firstLine="708"/>
        <w:jc w:val="both"/>
        <w:rPr>
          <w:b/>
          <w:bCs/>
          <w:sz w:val="24"/>
          <w:lang w:val="uk-UA"/>
        </w:rPr>
      </w:pPr>
    </w:p>
    <w:p>
      <w:pPr>
        <w:ind w:left="426"/>
        <w:jc w:val="both"/>
        <w:rPr>
          <w:rFonts w:ascii="Times New Roman" w:hAnsi="Times New Roman" w:cs="Times New Roman"/>
          <w:bCs/>
          <w:spacing w:val="-6"/>
          <w:sz w:val="24"/>
        </w:rPr>
      </w:pPr>
    </w:p>
    <w:p>
      <w:pPr>
        <w:ind w:left="426"/>
        <w:jc w:val="both"/>
        <w:rPr>
          <w:rFonts w:ascii="Times New Roman" w:hAnsi="Times New Roman" w:cs="Times New Roman"/>
          <w:bCs/>
          <w:spacing w:val="-6"/>
          <w:sz w:val="24"/>
        </w:rPr>
      </w:pPr>
    </w:p>
    <w:p>
      <w:pPr>
        <w:jc w:val="center"/>
        <w:rPr>
          <w:rFonts w:ascii="Times New Roman" w:hAnsi="Times New Roman" w:cs="Times New Roman"/>
          <w:b/>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Segoe UI">
    <w:altName w:val="Helvetica Neue"/>
    <w:panose1 w:val="020B0502040204020203"/>
    <w:charset w:val="CC"/>
    <w:family w:val="swiss"/>
    <w:pitch w:val="default"/>
    <w:sig w:usb0="00000000" w:usb1="00000000" w:usb2="00000009" w:usb3="00000000" w:csb0="000001FF" w:csb1="00000000"/>
  </w:font>
  <w:font w:name="TimesNewRoman">
    <w:altName w:val="Hiragino Sans"/>
    <w:panose1 w:val="00000000000000000000"/>
    <w:charset w:val="80"/>
    <w:family w:val="auto"/>
    <w:pitch w:val="default"/>
    <w:sig w:usb0="00000000" w:usb1="00000000" w:usb2="00000010" w:usb3="00000000" w:csb0="0002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745"/>
    <w:multiLevelType w:val="multilevel"/>
    <w:tmpl w:val="1B9017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BC6337A"/>
    <w:multiLevelType w:val="multilevel"/>
    <w:tmpl w:val="1BC633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5D179CC"/>
    <w:multiLevelType w:val="multilevel"/>
    <w:tmpl w:val="55D179C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142D5"/>
    <w:rsid w:val="0001550E"/>
    <w:rsid w:val="00022CAB"/>
    <w:rsid w:val="00035310"/>
    <w:rsid w:val="000474BE"/>
    <w:rsid w:val="00060228"/>
    <w:rsid w:val="000668B0"/>
    <w:rsid w:val="000838A5"/>
    <w:rsid w:val="000867B4"/>
    <w:rsid w:val="00086DF1"/>
    <w:rsid w:val="00090C59"/>
    <w:rsid w:val="000963DC"/>
    <w:rsid w:val="000968BD"/>
    <w:rsid w:val="000B0008"/>
    <w:rsid w:val="000C3454"/>
    <w:rsid w:val="000D69EC"/>
    <w:rsid w:val="000E5773"/>
    <w:rsid w:val="000E6ABA"/>
    <w:rsid w:val="000F1E7C"/>
    <w:rsid w:val="00110FFE"/>
    <w:rsid w:val="00112DF1"/>
    <w:rsid w:val="001220E5"/>
    <w:rsid w:val="0013312D"/>
    <w:rsid w:val="00147CA5"/>
    <w:rsid w:val="001512F1"/>
    <w:rsid w:val="00154C3D"/>
    <w:rsid w:val="001666C5"/>
    <w:rsid w:val="00170AD3"/>
    <w:rsid w:val="001725A6"/>
    <w:rsid w:val="001823C7"/>
    <w:rsid w:val="001A3CC0"/>
    <w:rsid w:val="001B5012"/>
    <w:rsid w:val="001C2E13"/>
    <w:rsid w:val="001C4800"/>
    <w:rsid w:val="001E036B"/>
    <w:rsid w:val="0020008C"/>
    <w:rsid w:val="00200813"/>
    <w:rsid w:val="0023189C"/>
    <w:rsid w:val="00246A5B"/>
    <w:rsid w:val="00253D76"/>
    <w:rsid w:val="00255CCF"/>
    <w:rsid w:val="002567B2"/>
    <w:rsid w:val="00265AB9"/>
    <w:rsid w:val="00291490"/>
    <w:rsid w:val="00294E8A"/>
    <w:rsid w:val="0029693D"/>
    <w:rsid w:val="0029704F"/>
    <w:rsid w:val="002B5D05"/>
    <w:rsid w:val="002B5E45"/>
    <w:rsid w:val="002C04AD"/>
    <w:rsid w:val="002C1578"/>
    <w:rsid w:val="002C3E1A"/>
    <w:rsid w:val="002D6EAC"/>
    <w:rsid w:val="002E398D"/>
    <w:rsid w:val="002F3A04"/>
    <w:rsid w:val="00302058"/>
    <w:rsid w:val="00307723"/>
    <w:rsid w:val="0031763F"/>
    <w:rsid w:val="00324625"/>
    <w:rsid w:val="00326283"/>
    <w:rsid w:val="003520DA"/>
    <w:rsid w:val="00353240"/>
    <w:rsid w:val="003607B5"/>
    <w:rsid w:val="00371166"/>
    <w:rsid w:val="0037198D"/>
    <w:rsid w:val="00372487"/>
    <w:rsid w:val="003758AD"/>
    <w:rsid w:val="00377564"/>
    <w:rsid w:val="00395881"/>
    <w:rsid w:val="00395883"/>
    <w:rsid w:val="003A1B35"/>
    <w:rsid w:val="003A6AE1"/>
    <w:rsid w:val="003B2BD1"/>
    <w:rsid w:val="003B701F"/>
    <w:rsid w:val="003C59C0"/>
    <w:rsid w:val="003D2314"/>
    <w:rsid w:val="003E78EB"/>
    <w:rsid w:val="003F75A8"/>
    <w:rsid w:val="004113ED"/>
    <w:rsid w:val="00421927"/>
    <w:rsid w:val="004229F5"/>
    <w:rsid w:val="004475D6"/>
    <w:rsid w:val="004563A3"/>
    <w:rsid w:val="00464607"/>
    <w:rsid w:val="00474594"/>
    <w:rsid w:val="00484403"/>
    <w:rsid w:val="00487750"/>
    <w:rsid w:val="00493DD9"/>
    <w:rsid w:val="004A4E9E"/>
    <w:rsid w:val="004B44E4"/>
    <w:rsid w:val="004C37DA"/>
    <w:rsid w:val="004D224B"/>
    <w:rsid w:val="004D5660"/>
    <w:rsid w:val="0050344C"/>
    <w:rsid w:val="00530816"/>
    <w:rsid w:val="00531126"/>
    <w:rsid w:val="0053225B"/>
    <w:rsid w:val="00543A92"/>
    <w:rsid w:val="00560D19"/>
    <w:rsid w:val="00562478"/>
    <w:rsid w:val="00562EE8"/>
    <w:rsid w:val="00571E70"/>
    <w:rsid w:val="005839FE"/>
    <w:rsid w:val="005871A6"/>
    <w:rsid w:val="00592810"/>
    <w:rsid w:val="005A7553"/>
    <w:rsid w:val="005A7AA5"/>
    <w:rsid w:val="005B3A52"/>
    <w:rsid w:val="005D462F"/>
    <w:rsid w:val="005D72DD"/>
    <w:rsid w:val="005E430C"/>
    <w:rsid w:val="005E53B6"/>
    <w:rsid w:val="005E5599"/>
    <w:rsid w:val="005F3825"/>
    <w:rsid w:val="005F606F"/>
    <w:rsid w:val="00622338"/>
    <w:rsid w:val="0063013B"/>
    <w:rsid w:val="00632662"/>
    <w:rsid w:val="00633166"/>
    <w:rsid w:val="006348E4"/>
    <w:rsid w:val="00661710"/>
    <w:rsid w:val="00685397"/>
    <w:rsid w:val="006B39B6"/>
    <w:rsid w:val="006C5C0A"/>
    <w:rsid w:val="006D2B4B"/>
    <w:rsid w:val="006E0793"/>
    <w:rsid w:val="006E2869"/>
    <w:rsid w:val="006E7259"/>
    <w:rsid w:val="006F2872"/>
    <w:rsid w:val="006F7E05"/>
    <w:rsid w:val="00700E0E"/>
    <w:rsid w:val="007233EF"/>
    <w:rsid w:val="00740E45"/>
    <w:rsid w:val="00745231"/>
    <w:rsid w:val="00753E89"/>
    <w:rsid w:val="00757015"/>
    <w:rsid w:val="00766C01"/>
    <w:rsid w:val="0078790E"/>
    <w:rsid w:val="00787BB8"/>
    <w:rsid w:val="007912E9"/>
    <w:rsid w:val="007944E8"/>
    <w:rsid w:val="007D65B8"/>
    <w:rsid w:val="007E2646"/>
    <w:rsid w:val="007E67CD"/>
    <w:rsid w:val="007F2861"/>
    <w:rsid w:val="007F53EC"/>
    <w:rsid w:val="008135AD"/>
    <w:rsid w:val="00846175"/>
    <w:rsid w:val="00856E0C"/>
    <w:rsid w:val="00872736"/>
    <w:rsid w:val="008733B0"/>
    <w:rsid w:val="00873F85"/>
    <w:rsid w:val="008809E8"/>
    <w:rsid w:val="00880BAC"/>
    <w:rsid w:val="00886C22"/>
    <w:rsid w:val="008A52E3"/>
    <w:rsid w:val="008B7AB3"/>
    <w:rsid w:val="008C3905"/>
    <w:rsid w:val="008C740E"/>
    <w:rsid w:val="008D5CEE"/>
    <w:rsid w:val="008E212B"/>
    <w:rsid w:val="008F1502"/>
    <w:rsid w:val="008F65D3"/>
    <w:rsid w:val="008F7638"/>
    <w:rsid w:val="00906503"/>
    <w:rsid w:val="00912931"/>
    <w:rsid w:val="00912D1B"/>
    <w:rsid w:val="009216B8"/>
    <w:rsid w:val="00926690"/>
    <w:rsid w:val="00945524"/>
    <w:rsid w:val="00963DF3"/>
    <w:rsid w:val="00976026"/>
    <w:rsid w:val="00995A90"/>
    <w:rsid w:val="009C02DF"/>
    <w:rsid w:val="009F3413"/>
    <w:rsid w:val="00A06637"/>
    <w:rsid w:val="00A11B5D"/>
    <w:rsid w:val="00A14F99"/>
    <w:rsid w:val="00A20961"/>
    <w:rsid w:val="00A22147"/>
    <w:rsid w:val="00A2534E"/>
    <w:rsid w:val="00A36AEE"/>
    <w:rsid w:val="00A40F5A"/>
    <w:rsid w:val="00A43BFE"/>
    <w:rsid w:val="00A65B9E"/>
    <w:rsid w:val="00A72D32"/>
    <w:rsid w:val="00AA3454"/>
    <w:rsid w:val="00AB0858"/>
    <w:rsid w:val="00AB31FF"/>
    <w:rsid w:val="00AC5066"/>
    <w:rsid w:val="00AC64BF"/>
    <w:rsid w:val="00AD5B28"/>
    <w:rsid w:val="00AD6D50"/>
    <w:rsid w:val="00B13D0F"/>
    <w:rsid w:val="00B16DDD"/>
    <w:rsid w:val="00B176C7"/>
    <w:rsid w:val="00B17A00"/>
    <w:rsid w:val="00B21F1D"/>
    <w:rsid w:val="00B44949"/>
    <w:rsid w:val="00B46BC2"/>
    <w:rsid w:val="00B5602C"/>
    <w:rsid w:val="00B70E20"/>
    <w:rsid w:val="00B7661F"/>
    <w:rsid w:val="00B76F7A"/>
    <w:rsid w:val="00B82652"/>
    <w:rsid w:val="00B83657"/>
    <w:rsid w:val="00B900AD"/>
    <w:rsid w:val="00B96B32"/>
    <w:rsid w:val="00BA0648"/>
    <w:rsid w:val="00BA5AF6"/>
    <w:rsid w:val="00BC3238"/>
    <w:rsid w:val="00BD07E1"/>
    <w:rsid w:val="00BD09E5"/>
    <w:rsid w:val="00BD58B9"/>
    <w:rsid w:val="00BE36CD"/>
    <w:rsid w:val="00BF0156"/>
    <w:rsid w:val="00BF0DCC"/>
    <w:rsid w:val="00BF379C"/>
    <w:rsid w:val="00C15F59"/>
    <w:rsid w:val="00C16FC7"/>
    <w:rsid w:val="00C173A1"/>
    <w:rsid w:val="00C32AC1"/>
    <w:rsid w:val="00C54FB1"/>
    <w:rsid w:val="00C60DCF"/>
    <w:rsid w:val="00C65C7B"/>
    <w:rsid w:val="00C65F69"/>
    <w:rsid w:val="00C75674"/>
    <w:rsid w:val="00C80F24"/>
    <w:rsid w:val="00C81BD4"/>
    <w:rsid w:val="00C85589"/>
    <w:rsid w:val="00C85CB8"/>
    <w:rsid w:val="00C95DBF"/>
    <w:rsid w:val="00CA0EED"/>
    <w:rsid w:val="00CA1B66"/>
    <w:rsid w:val="00CA28E7"/>
    <w:rsid w:val="00CA43D1"/>
    <w:rsid w:val="00CE0A75"/>
    <w:rsid w:val="00CE0BC8"/>
    <w:rsid w:val="00CF0147"/>
    <w:rsid w:val="00CF38FE"/>
    <w:rsid w:val="00CF7B63"/>
    <w:rsid w:val="00D1431A"/>
    <w:rsid w:val="00D25775"/>
    <w:rsid w:val="00D4199B"/>
    <w:rsid w:val="00D42B62"/>
    <w:rsid w:val="00D44328"/>
    <w:rsid w:val="00D44F54"/>
    <w:rsid w:val="00D46615"/>
    <w:rsid w:val="00D46B73"/>
    <w:rsid w:val="00D53949"/>
    <w:rsid w:val="00D56BFF"/>
    <w:rsid w:val="00D61AB9"/>
    <w:rsid w:val="00D66059"/>
    <w:rsid w:val="00D72547"/>
    <w:rsid w:val="00D72CF1"/>
    <w:rsid w:val="00D7410C"/>
    <w:rsid w:val="00D86E04"/>
    <w:rsid w:val="00DA4300"/>
    <w:rsid w:val="00DB10D9"/>
    <w:rsid w:val="00DC3EF4"/>
    <w:rsid w:val="00DD44B6"/>
    <w:rsid w:val="00DD49E4"/>
    <w:rsid w:val="00DD5365"/>
    <w:rsid w:val="00DE4E6F"/>
    <w:rsid w:val="00DF618D"/>
    <w:rsid w:val="00E03272"/>
    <w:rsid w:val="00E0490E"/>
    <w:rsid w:val="00E05661"/>
    <w:rsid w:val="00E1024E"/>
    <w:rsid w:val="00E12642"/>
    <w:rsid w:val="00E21327"/>
    <w:rsid w:val="00E22534"/>
    <w:rsid w:val="00E271CB"/>
    <w:rsid w:val="00E33C03"/>
    <w:rsid w:val="00E51E49"/>
    <w:rsid w:val="00E95668"/>
    <w:rsid w:val="00EA5BBB"/>
    <w:rsid w:val="00EB22A9"/>
    <w:rsid w:val="00EC47B3"/>
    <w:rsid w:val="00ED0B47"/>
    <w:rsid w:val="00ED3120"/>
    <w:rsid w:val="00ED4A1E"/>
    <w:rsid w:val="00ED61C9"/>
    <w:rsid w:val="00ED679D"/>
    <w:rsid w:val="00EE1595"/>
    <w:rsid w:val="00EE3967"/>
    <w:rsid w:val="00EE534D"/>
    <w:rsid w:val="00EF2C86"/>
    <w:rsid w:val="00EF37F4"/>
    <w:rsid w:val="00F0134F"/>
    <w:rsid w:val="00F20A92"/>
    <w:rsid w:val="00F23949"/>
    <w:rsid w:val="00F57A38"/>
    <w:rsid w:val="00F57AEF"/>
    <w:rsid w:val="00F622CF"/>
    <w:rsid w:val="00F66F80"/>
    <w:rsid w:val="00FA030D"/>
    <w:rsid w:val="00FA2FDA"/>
    <w:rsid w:val="00FA656E"/>
    <w:rsid w:val="00FB2238"/>
    <w:rsid w:val="00FC6300"/>
    <w:rsid w:val="00FC74B7"/>
    <w:rsid w:val="00FD2F64"/>
    <w:rsid w:val="00FD6660"/>
    <w:rsid w:val="00FD7C58"/>
    <w:rsid w:val="00FF58ED"/>
    <w:rsid w:val="00FF68F5"/>
    <w:rsid w:val="57EFF35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2"/>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5"/>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7"/>
    <w:basedOn w:val="1"/>
    <w:next w:val="1"/>
    <w:link w:val="16"/>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Balloon Text"/>
    <w:basedOn w:val="1"/>
    <w:link w:val="18"/>
    <w:unhideWhenUsed/>
    <w:qFormat/>
    <w:uiPriority w:val="99"/>
    <w:pPr>
      <w:spacing w:after="0" w:line="240" w:lineRule="auto"/>
    </w:pPr>
    <w:rPr>
      <w:rFonts w:ascii="Tahoma" w:hAnsi="Tahoma" w:cs="Tahoma"/>
      <w:sz w:val="16"/>
      <w:szCs w:val="16"/>
    </w:rPr>
  </w:style>
  <w:style w:type="paragraph" w:styleId="6">
    <w:name w:val="Body Text"/>
    <w:basedOn w:val="1"/>
    <w:link w:val="17"/>
    <w:qFormat/>
    <w:uiPriority w:val="0"/>
    <w:pPr>
      <w:spacing w:after="120" w:line="240" w:lineRule="auto"/>
    </w:pPr>
    <w:rPr>
      <w:rFonts w:ascii="Times New Roman" w:hAnsi="Times New Roman" w:eastAsia="Times New Roman" w:cs="Times New Roman"/>
      <w:sz w:val="28"/>
      <w:szCs w:val="24"/>
      <w:lang w:val="ru-RU" w:eastAsia="ru-RU"/>
    </w:rPr>
  </w:style>
  <w:style w:type="character" w:styleId="8">
    <w:name w:val="FollowedHyperlink"/>
    <w:basedOn w:val="7"/>
    <w:unhideWhenUsed/>
    <w:qFormat/>
    <w:uiPriority w:val="99"/>
    <w:rPr>
      <w:color w:val="800080" w:themeColor="followedHyperlink"/>
      <w:u w:val="single"/>
      <w14:textFill>
        <w14:solidFill>
          <w14:schemeClr w14:val="folHlink"/>
        </w14:solidFill>
      </w14:textFill>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Заголовок 1 Знак"/>
    <w:basedOn w:val="7"/>
    <w:link w:val="2"/>
    <w:qFormat/>
    <w:uiPriority w:val="0"/>
    <w:rPr>
      <w:rFonts w:ascii="Times New Roman" w:hAnsi="Times New Roman" w:eastAsia="Times New Roman" w:cs="Times New Roman"/>
      <w:sz w:val="32"/>
      <w:szCs w:val="24"/>
      <w:lang w:eastAsia="ru-RU"/>
    </w:rPr>
  </w:style>
  <w:style w:type="paragraph" w:customStyle="1" w:styleId="13">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4">
    <w:name w:val="List Paragraph"/>
    <w:basedOn w:val="1"/>
    <w:qFormat/>
    <w:uiPriority w:val="34"/>
    <w:pPr>
      <w:ind w:left="720"/>
      <w:contextualSpacing/>
    </w:pPr>
  </w:style>
  <w:style w:type="character" w:customStyle="1" w:styleId="15">
    <w:name w:val="Заголовок 4 Знак"/>
    <w:basedOn w:val="7"/>
    <w:link w:val="3"/>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6">
    <w:name w:val="Заголовок 7 Знак"/>
    <w:basedOn w:val="7"/>
    <w:link w:val="4"/>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7">
    <w:name w:val="Основний текст Знак"/>
    <w:basedOn w:val="7"/>
    <w:link w:val="6"/>
    <w:qFormat/>
    <w:uiPriority w:val="0"/>
    <w:rPr>
      <w:rFonts w:ascii="Times New Roman" w:hAnsi="Times New Roman" w:eastAsia="Times New Roman" w:cs="Times New Roman"/>
      <w:sz w:val="28"/>
      <w:szCs w:val="24"/>
      <w:lang w:val="ru-RU" w:eastAsia="ru-RU"/>
    </w:rPr>
  </w:style>
  <w:style w:type="character" w:customStyle="1" w:styleId="18">
    <w:name w:val="Текст у виносці Знак"/>
    <w:basedOn w:val="7"/>
    <w:link w:val="5"/>
    <w:semiHidden/>
    <w:qFormat/>
    <w:uiPriority w:val="99"/>
    <w:rPr>
      <w:rFonts w:ascii="Tahoma" w:hAnsi="Tahoma" w:cs="Tahoma"/>
      <w:sz w:val="16"/>
      <w:szCs w:val="16"/>
    </w:rPr>
  </w:style>
  <w:style w:type="paragraph" w:customStyle="1" w:styleId="1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0">
    <w:name w:val="Unresolved Mention"/>
    <w:basedOn w:val="7"/>
    <w:unhideWhenUsed/>
    <w:qFormat/>
    <w:uiPriority w:val="99"/>
    <w:rPr>
      <w:color w:val="605E5C"/>
      <w:shd w:val="clear" w:color="auto" w:fill="E1DFDD"/>
    </w:rPr>
  </w:style>
  <w:style w:type="paragraph" w:customStyle="1" w:styleId="21">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22">
    <w:name w:val="normaltextrun"/>
    <w:basedOn w:val="7"/>
    <w:qFormat/>
    <w:uiPriority w:val="0"/>
  </w:style>
  <w:style w:type="character" w:customStyle="1" w:styleId="23">
    <w:name w:val="eop"/>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10666</Words>
  <Characters>6080</Characters>
  <Lines>50</Lines>
  <Paragraphs>33</Paragraphs>
  <TotalTime>0</TotalTime>
  <ScaleCrop>false</ScaleCrop>
  <LinksUpToDate>false</LinksUpToDate>
  <CharactersWithSpaces>16713</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2021-02-14T13:48:00Z</dcterms:created>
  <dc:creator>Taras Pyts</dc:creator>
  <cp:lastModifiedBy>olgadenys</cp:lastModifiedBy>
  <cp:lastPrinted>2020-01-27T13:28:00Z</cp:lastPrinted>
  <dcterms:modified xsi:type="dcterms:W3CDTF">2021-02-18T18:01:27Z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