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ПЕРЕКЛАД ОФІЦІЙНО-ДІЛОВИХ ДОКУМЕНТІВ</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Освітній рівень</w:t>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Галузь знань</w:t>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Спеціальність</w:t>
      </w:r>
      <w:r>
        <w:rPr>
          <w:rFonts w:ascii="Times New Roman" w:hAnsi="Times New Roman" w:cs="Times New Roman"/>
          <w:b/>
          <w:sz w:val="28"/>
          <w:szCs w:val="28"/>
          <w:lang w:val="ru-RU"/>
        </w:rPr>
        <w:tab/>
      </w:r>
      <w:r>
        <w:rPr>
          <w:rFonts w:ascii="Times New Roman" w:hAnsi="Times New Roman" w:cs="Times New Roman"/>
          <w:b/>
          <w:sz w:val="28"/>
          <w:szCs w:val="28"/>
          <w:lang w:val="ru-RU"/>
        </w:rPr>
        <w:t>035Філологія</w:t>
      </w:r>
    </w:p>
    <w:p>
      <w:pPr>
        <w:ind w:left="2127" w:hanging="2127"/>
        <w:rPr>
          <w:rFonts w:ascii="Times New Roman" w:hAnsi="Times New Roman" w:cs="Times New Roman"/>
          <w:b/>
          <w:sz w:val="28"/>
          <w:szCs w:val="28"/>
          <w:lang w:val="ru-RU"/>
        </w:rPr>
      </w:pPr>
      <w:r>
        <w:rPr>
          <w:rFonts w:ascii="Times New Roman" w:hAnsi="Times New Roman" w:cs="Times New Roman"/>
          <w:b/>
          <w:sz w:val="28"/>
          <w:szCs w:val="28"/>
          <w:lang w:val="ru-RU"/>
        </w:rPr>
        <w:t>Спеціалізація</w:t>
      </w:r>
      <w:r>
        <w:rPr>
          <w:rFonts w:ascii="Times New Roman" w:hAnsi="Times New Roman" w:cs="Times New Roman"/>
          <w:b/>
          <w:sz w:val="28"/>
          <w:szCs w:val="28"/>
          <w:lang w:val="ru-RU"/>
        </w:rPr>
        <w:tab/>
      </w:r>
      <w:r>
        <w:rPr>
          <w:rFonts w:ascii="Times New Roman" w:hAnsi="Times New Roman" w:cs="Times New Roman"/>
          <w:b/>
          <w:sz w:val="28"/>
          <w:szCs w:val="28"/>
          <w:lang w:val="ru-RU"/>
        </w:rPr>
        <w:t>Переклад (німецька мова)</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«Переклад офіційно-ділових документів»</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color w:val="FF000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Переклад офіційно-ділових документів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Лесечко Богумила Василівна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lang w:val="de-DE"/>
              </w:rPr>
              <w:t>b</w:t>
            </w:r>
            <w:r>
              <w:rPr>
                <w:rFonts w:ascii="Times New Roman" w:hAnsi="Times New Roman" w:cs="Times New Roman"/>
              </w:rPr>
              <w:t>ohumyla.</w:t>
            </w:r>
            <w:r>
              <w:rPr>
                <w:rFonts w:ascii="Times New Roman" w:hAnsi="Times New Roman" w:cs="Times New Roman"/>
                <w:lang w:val="de-DE"/>
              </w:rPr>
              <w:t>lesechko</w:t>
            </w:r>
            <w:r>
              <w:fldChar w:fldCharType="begin"/>
            </w:r>
            <w:r>
              <w:instrText xml:space="preserve">HYPERLINK "mailto:oleksandra.shumiatska@lnu.edu.ua"</w:instrText>
            </w:r>
            <w:r>
              <w:fldChar w:fldCharType="separate"/>
            </w:r>
            <w:r>
              <w:rPr>
                <w:rStyle w:val="9"/>
                <w:rFonts w:ascii="Times New Roman" w:hAnsi="Times New Roman" w:cs="Times New Roman"/>
                <w:sz w:val="24"/>
                <w:szCs w:val="24"/>
                <w:lang w:val="ru-RU"/>
              </w:rPr>
              <w:t>@lnu.edu.ua</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color w:val="FF0000"/>
                <w:sz w:val="24"/>
                <w:szCs w:val="24"/>
                <w:lang w:val="de-DE"/>
              </w:rPr>
            </w:pPr>
            <w:r>
              <w:rPr>
                <w:rFonts w:ascii="Times New Roman" w:hAnsi="Times New Roman" w:cs="Times New Roman"/>
                <w:b/>
                <w:sz w:val="24"/>
                <w:szCs w:val="24"/>
                <w:lang w:val="ru-RU"/>
              </w:rPr>
              <w:t>Сторінка</w:t>
            </w:r>
            <w:r>
              <w:rPr>
                <w:rFonts w:ascii="Times New Roman" w:hAnsi="Times New Roman" w:cs="Times New Roman"/>
                <w:b/>
                <w:sz w:val="24"/>
                <w:szCs w:val="24"/>
                <w:lang w:val="de-DE"/>
              </w:rPr>
              <w:t xml:space="preserve"> </w:t>
            </w:r>
            <w:r>
              <w:rPr>
                <w:rFonts w:ascii="Times New Roman" w:hAnsi="Times New Roman" w:cs="Times New Roman"/>
                <w:b/>
                <w:sz w:val="24"/>
                <w:szCs w:val="24"/>
                <w:lang w:val="ru-RU"/>
              </w:rPr>
              <w:t>викладача</w:t>
            </w:r>
            <w:r>
              <w:rPr>
                <w:rFonts w:ascii="Times New Roman" w:hAnsi="Times New Roman" w:cs="Times New Roman"/>
                <w:b/>
                <w:sz w:val="24"/>
                <w:szCs w:val="24"/>
                <w:lang w:val="de-DE"/>
              </w:rPr>
              <w:t xml:space="preserve"> </w:t>
            </w:r>
          </w:p>
        </w:tc>
        <w:tc>
          <w:tcPr>
            <w:tcW w:w="6486" w:type="dxa"/>
          </w:tcPr>
          <w:p>
            <w:pPr>
              <w:spacing w:after="0" w:line="240" w:lineRule="auto"/>
              <w:rPr>
                <w:rFonts w:ascii="Times New Roman" w:hAnsi="Times New Roman" w:cs="Times New Roman"/>
                <w:b/>
                <w:sz w:val="24"/>
                <w:szCs w:val="24"/>
                <w:lang w:val="de-DE"/>
              </w:rPr>
            </w:pPr>
            <w:r>
              <w:fldChar w:fldCharType="begin"/>
            </w:r>
            <w:r>
              <w:instrText xml:space="preserve"> HYPERLINK "https://lingua.lnu.edu.ua/employee/lesechko-bohumyla-vasylivna" </w:instrText>
            </w:r>
            <w:r>
              <w:fldChar w:fldCharType="separate"/>
            </w:r>
            <w:r>
              <w:rPr>
                <w:rStyle w:val="9"/>
                <w:rFonts w:ascii="Times New Roman" w:hAnsi="Times New Roman" w:cs="Times New Roman"/>
                <w:sz w:val="24"/>
              </w:rPr>
              <w:t>https://lingua.lnu.edu.ua/employee/lesechko-bohumyla-vasylivna</w:t>
            </w:r>
            <w:r>
              <w:rPr>
                <w:rStyle w:val="9"/>
                <w:rFonts w:ascii="Times New Roman" w:hAnsi="Times New Roman" w:cs="Times New Roman"/>
                <w:sz w:val="24"/>
              </w:rPr>
              <w:fldChar w:fldCharType="end"/>
            </w:r>
          </w:p>
        </w:tc>
      </w:tr>
    </w:tbl>
    <w:p>
      <w:pPr>
        <w:jc w:val="center"/>
        <w:rPr>
          <w:rFonts w:ascii="Times New Roman" w:hAnsi="Times New Roman" w:cs="Times New Roman"/>
          <w:b/>
          <w:sz w:val="24"/>
          <w:szCs w:val="24"/>
          <w:lang w:val="de-DE"/>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КОНСУЛЬТАЦІЇ</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lang w:val="ru-RU"/>
              </w:rPr>
              <w:t>Час</w:t>
            </w:r>
            <w:r>
              <w:rPr>
                <w:rFonts w:ascii="Times New Roman" w:hAnsi="Times New Roman" w:cs="Times New Roman"/>
                <w:b/>
                <w:color w:val="FF0000"/>
                <w:sz w:val="24"/>
                <w:szCs w:val="24"/>
                <w:lang w:val="de-DE"/>
              </w:rPr>
              <w:t xml:space="preserve"> </w:t>
            </w:r>
          </w:p>
        </w:tc>
        <w:tc>
          <w:tcPr>
            <w:tcW w:w="6486" w:type="dxa"/>
          </w:tcPr>
          <w:p>
            <w:pPr>
              <w:spacing w:after="0" w:line="240" w:lineRule="auto"/>
              <w:rPr>
                <w:rFonts w:ascii="Times New Roman" w:hAnsi="Times New Roman" w:cs="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417)</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1"/>
        <w:tblW w:w="1014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color w:val="FF0000"/>
                <w:sz w:val="24"/>
                <w:szCs w:val="24"/>
                <w:lang w:val="en-US"/>
              </w:rPr>
            </w:pPr>
            <w:r>
              <w:rPr>
                <w:rFonts w:ascii="Times New Roman" w:hAnsi="Times New Roman" w:cs="Times New Roman"/>
                <w:b/>
                <w:sz w:val="24"/>
                <w:szCs w:val="24"/>
                <w:lang w:val="ru-RU"/>
              </w:rPr>
              <w:t>Сторінка курсу</w:t>
            </w:r>
            <w:r>
              <w:rPr>
                <w:rFonts w:ascii="Times New Roman" w:hAnsi="Times New Roman" w:cs="Times New Roman"/>
                <w:b/>
                <w:sz w:val="24"/>
                <w:szCs w:val="24"/>
                <w:lang w:val="de-DE"/>
              </w:rPr>
              <w:t xml:space="preserve"> </w:t>
            </w:r>
          </w:p>
        </w:tc>
        <w:tc>
          <w:tcPr>
            <w:tcW w:w="8822" w:type="dxa"/>
          </w:tcPr>
          <w:p>
            <w:pPr>
              <w:spacing w:after="0" w:line="240" w:lineRule="auto"/>
              <w:jc w:val="both"/>
              <w:rPr>
                <w:rFonts w:ascii="Times New Roman" w:hAnsi="Times New Roman" w:cs="Times New Roman"/>
                <w:b/>
                <w:sz w:val="24"/>
                <w:szCs w:val="24"/>
              </w:rPr>
            </w:pPr>
            <w:r>
              <w:fldChar w:fldCharType="begin"/>
            </w:r>
            <w:r>
              <w:instrText xml:space="preserve"> HYPERLINK "https://lingua.lnu.edu.ua/department/mizhkulturnoji-komunikatsiji-ta-perekladu" </w:instrText>
            </w:r>
            <w:r>
              <w:fldChar w:fldCharType="separate"/>
            </w:r>
            <w:r>
              <w:rPr>
                <w:rStyle w:val="9"/>
              </w:rPr>
              <w:t>https://lingua.lnu.edu.ua/department/mizhkulturnoji-komunikatsiji-ta-perekladu</w:t>
            </w:r>
            <w:r>
              <w:rPr>
                <w:rStyle w:val="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Коротка анотація курсу </w:t>
            </w:r>
          </w:p>
        </w:tc>
        <w:tc>
          <w:tcPr>
            <w:tcW w:w="8822"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«Переклад офіційно-ділових документів» є вибірковою дисципліною зі спеціальності 035 Філологія для освітньої програми ОС «бакалавр», яка викладається в 7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8822" w:type="dxa"/>
          </w:tcPr>
          <w:p>
            <w:pPr>
              <w:tabs>
                <w:tab w:val="left" w:pos="284"/>
                <w:tab w:val="left" w:pos="567"/>
              </w:tabs>
              <w:spacing w:after="0" w:line="240" w:lineRule="auto"/>
              <w:ind w:firstLine="102"/>
              <w:contextualSpacing/>
              <w:rPr>
                <w:rFonts w:ascii="Times New Roman" w:hAnsi="Times New Roman" w:cs="Times New Roman"/>
                <w:sz w:val="24"/>
              </w:rPr>
            </w:pPr>
            <w:r>
              <w:rPr>
                <w:rFonts w:ascii="Times New Roman" w:hAnsi="Times New Roman" w:cs="Times New Roman"/>
                <w:b/>
                <w:sz w:val="24"/>
              </w:rPr>
              <w:t>Мета</w:t>
            </w:r>
            <w:r>
              <w:rPr>
                <w:rFonts w:ascii="Times New Roman" w:hAnsi="Times New Roman" w:cs="Times New Roman"/>
                <w:sz w:val="24"/>
              </w:rPr>
              <w:t xml:space="preserve"> полягає у: </w:t>
            </w:r>
            <w:r>
              <w:rPr>
                <w:rFonts w:ascii="Times New Roman" w:hAnsi="Times New Roman" w:cs="Times New Roman"/>
                <w:sz w:val="24"/>
                <w:szCs w:val="24"/>
              </w:rPr>
              <w:t>вивченні основ перекладу офіційно-ділових</w:t>
            </w:r>
            <w:r>
              <w:rPr>
                <w:rFonts w:ascii="Times New Roman" w:hAnsi="Times New Roman" w:cs="Times New Roman"/>
                <w:sz w:val="24"/>
                <w:szCs w:val="24"/>
                <w:lang w:val="ru-RU"/>
              </w:rPr>
              <w:t xml:space="preserve"> </w:t>
            </w:r>
            <w:r>
              <w:rPr>
                <w:rFonts w:ascii="Times New Roman" w:hAnsi="Times New Roman" w:cs="Times New Roman"/>
                <w:sz w:val="24"/>
                <w:szCs w:val="24"/>
              </w:rPr>
              <w:t>документів, як особливого виду текстів, формуванні знань та навиків перекладу офіційно-ділових</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документів.  </w:t>
            </w:r>
          </w:p>
          <w:p>
            <w:pPr>
              <w:tabs>
                <w:tab w:val="left" w:pos="284"/>
                <w:tab w:val="left" w:pos="567"/>
              </w:tabs>
              <w:spacing w:after="0" w:line="240" w:lineRule="auto"/>
              <w:ind w:firstLine="102"/>
              <w:contextualSpacing/>
              <w:rPr>
                <w:rFonts w:ascii="Times New Roman" w:hAnsi="Times New Roman" w:cs="Times New Roman"/>
                <w:sz w:val="24"/>
              </w:rPr>
            </w:pPr>
            <w:r>
              <w:rPr>
                <w:rFonts w:ascii="Times New Roman" w:hAnsi="Times New Roman" w:cs="Times New Roman"/>
                <w:sz w:val="24"/>
              </w:rPr>
              <w:t>Основне</w:t>
            </w:r>
            <w:r>
              <w:rPr>
                <w:rFonts w:ascii="Times New Roman" w:hAnsi="Times New Roman" w:cs="Times New Roman"/>
                <w:b/>
                <w:sz w:val="24"/>
              </w:rPr>
              <w:t xml:space="preserve"> завдання</w:t>
            </w:r>
            <w:r>
              <w:rPr>
                <w:rFonts w:ascii="Times New Roman" w:hAnsi="Times New Roman" w:cs="Times New Roman"/>
                <w:sz w:val="24"/>
              </w:rPr>
              <w:t xml:space="preserve">: </w:t>
            </w:r>
            <w:r>
              <w:rPr>
                <w:rFonts w:ascii="Times New Roman" w:hAnsi="Times New Roman" w:cs="Times New Roman"/>
                <w:sz w:val="24"/>
                <w:szCs w:val="24"/>
              </w:rPr>
              <w:t xml:space="preserve">дати перекладачеві ключ до перекладу </w:t>
            </w:r>
            <w:r>
              <w:rPr>
                <w:rFonts w:ascii="Times New Roman" w:hAnsi="Times New Roman" w:cs="Times New Roman"/>
                <w:sz w:val="24"/>
              </w:rPr>
              <w:t xml:space="preserve">офіційно-ділових </w:t>
            </w:r>
            <w:r>
              <w:rPr>
                <w:rFonts w:ascii="Times New Roman" w:hAnsi="Times New Roman" w:cs="Times New Roman"/>
                <w:sz w:val="24"/>
                <w:szCs w:val="24"/>
              </w:rPr>
              <w:t>документів</w:t>
            </w:r>
            <w:r>
              <w:rPr>
                <w:rFonts w:ascii="Times New Roman" w:hAnsi="Times New Roman" w:cs="Times New Roman"/>
                <w:sz w:val="24"/>
              </w:rPr>
              <w:t xml:space="preserve">, ознайомитися із параметрами, видами та структурою </w:t>
            </w:r>
            <w:r>
              <w:rPr>
                <w:rFonts w:ascii="Times New Roman" w:hAnsi="Times New Roman" w:cs="Times New Roman"/>
                <w:sz w:val="24"/>
                <w:szCs w:val="24"/>
              </w:rPr>
              <w:t>офіційно-ділових</w:t>
            </w:r>
            <w:r>
              <w:rPr>
                <w:rFonts w:ascii="Times New Roman" w:hAnsi="Times New Roman" w:cs="Times New Roman"/>
                <w:sz w:val="24"/>
              </w:rPr>
              <w:t xml:space="preserve"> документів</w:t>
            </w:r>
            <w:r>
              <w:rPr>
                <w:rFonts w:ascii="Times New Roman" w:hAnsi="Times New Roman" w:cs="Times New Roman"/>
                <w:sz w:val="24"/>
                <w:szCs w:val="24"/>
              </w:rPr>
              <w:t>.</w:t>
            </w:r>
          </w:p>
          <w:p>
            <w:pPr>
              <w:spacing w:after="0" w:line="24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8822"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4"/>
              <w:numPr>
                <w:ilvl w:val="0"/>
                <w:numId w:val="1"/>
              </w:numPr>
              <w:shd w:val="clear" w:color="auto" w:fill="FFFFFF"/>
              <w:spacing w:before="100" w:beforeAutospacing="1" w:after="24"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Документознавство: Навч. посіб. / Г. М. Швецова-Водка. — К. : Знання, 2007. — 398 с.  </w:t>
            </w:r>
          </w:p>
          <w:p>
            <w:pPr>
              <w:pStyle w:val="14"/>
              <w:numPr>
                <w:ilvl w:val="0"/>
                <w:numId w:val="1"/>
              </w:numPr>
              <w:shd w:val="clear" w:color="auto" w:fill="FFFFFF"/>
              <w:spacing w:before="100" w:beforeAutospacing="1" w:after="24"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Загальне документознавство: Навч. посіб. / Ю. І. Палеха, Н. О. Леміш. — К. : </w:t>
            </w:r>
            <w:r>
              <w:fldChar w:fldCharType="begin"/>
            </w:r>
            <w:r>
              <w:instrText xml:space="preserve"> HYPERLINK "http://www.lira-k.com.ua/" </w:instrText>
            </w:r>
            <w:r>
              <w:fldChar w:fldCharType="separate"/>
            </w:r>
            <w:r>
              <w:rPr>
                <w:rStyle w:val="9"/>
                <w:rFonts w:ascii="Times New Roman" w:hAnsi="Times New Roman" w:cs="Times New Roman"/>
                <w:color w:val="663366"/>
                <w:sz w:val="24"/>
                <w:szCs w:val="24"/>
              </w:rPr>
              <w:t>Ліра-К</w:t>
            </w:r>
            <w:r>
              <w:rPr>
                <w:rStyle w:val="9"/>
                <w:rFonts w:ascii="Times New Roman" w:hAnsi="Times New Roman" w:cs="Times New Roman"/>
                <w:color w:val="663366"/>
                <w:sz w:val="24"/>
                <w:szCs w:val="24"/>
              </w:rPr>
              <w:fldChar w:fldCharType="end"/>
            </w:r>
            <w:r>
              <w:rPr>
                <w:rFonts w:ascii="Times New Roman" w:hAnsi="Times New Roman" w:cs="Times New Roman"/>
                <w:color w:val="222222"/>
                <w:sz w:val="24"/>
                <w:szCs w:val="24"/>
              </w:rPr>
              <w:t xml:space="preserve">, 2008. — 393 с. </w:t>
            </w:r>
          </w:p>
          <w:p>
            <w:pPr>
              <w:pStyle w:val="20"/>
              <w:numPr>
                <w:ilvl w:val="0"/>
                <w:numId w:val="1"/>
              </w:numPr>
              <w:spacing w:after="0" w:line="240" w:lineRule="auto"/>
              <w:jc w:val="both"/>
              <w:rPr>
                <w:rFonts w:ascii="Times New Roman" w:hAnsi="Times New Roman"/>
                <w:sz w:val="24"/>
                <w:szCs w:val="24"/>
              </w:rPr>
            </w:pPr>
            <w:r>
              <w:rPr>
                <w:rFonts w:ascii="Times New Roman" w:hAnsi="Times New Roman"/>
                <w:sz w:val="24"/>
                <w:szCs w:val="24"/>
                <w:lang w:val="uk-UA"/>
              </w:rPr>
              <w:t>Кияк Т. Р., Науменко А. М., Огуй О. Д. Теорія і практика перекладу німецької мови. – Вінниця: Нова книга, 2006. – 596 с.</w:t>
            </w:r>
          </w:p>
          <w:p>
            <w:pPr>
              <w:pStyle w:val="20"/>
              <w:numPr>
                <w:ilvl w:val="0"/>
                <w:numId w:val="1"/>
              </w:numPr>
              <w:spacing w:after="0" w:line="240" w:lineRule="auto"/>
              <w:jc w:val="both"/>
              <w:rPr>
                <w:rFonts w:ascii="Times New Roman" w:hAnsi="Times New Roman"/>
                <w:sz w:val="24"/>
                <w:szCs w:val="24"/>
                <w:lang w:val="de-DE"/>
              </w:rPr>
            </w:pPr>
            <w:r>
              <w:rPr>
                <w:rFonts w:ascii="Times New Roman" w:hAnsi="Times New Roman"/>
                <w:color w:val="000000"/>
                <w:spacing w:val="-4"/>
                <w:w w:val="101"/>
                <w:sz w:val="24"/>
                <w:szCs w:val="24"/>
                <w:lang w:val="de-DE"/>
              </w:rPr>
              <w:t xml:space="preserve">Honig H. G., Kußmaul P. Strategie der Übersetzung. Ein Lehr- und Arbeitsbuch. </w:t>
            </w:r>
            <w:r>
              <w:rPr>
                <w:rFonts w:ascii="Times New Roman" w:hAnsi="Times New Roman"/>
                <w:sz w:val="24"/>
                <w:szCs w:val="24"/>
                <w:lang w:val="uk-UA"/>
              </w:rPr>
              <w:t xml:space="preserve">– </w:t>
            </w:r>
            <w:r>
              <w:rPr>
                <w:rFonts w:ascii="Times New Roman" w:hAnsi="Times New Roman"/>
                <w:color w:val="000000"/>
                <w:spacing w:val="-4"/>
                <w:w w:val="101"/>
                <w:sz w:val="24"/>
                <w:szCs w:val="24"/>
                <w:lang w:val="de-DE"/>
              </w:rPr>
              <w:t xml:space="preserve">Tübingen: Narr, 1996. </w:t>
            </w:r>
            <w:r>
              <w:rPr>
                <w:rFonts w:ascii="Times New Roman" w:hAnsi="Times New Roman"/>
                <w:sz w:val="24"/>
                <w:szCs w:val="24"/>
                <w:lang w:val="uk-UA"/>
              </w:rPr>
              <w:t xml:space="preserve">– </w:t>
            </w:r>
            <w:r>
              <w:rPr>
                <w:rFonts w:ascii="Times New Roman" w:hAnsi="Times New Roman"/>
                <w:color w:val="000000"/>
                <w:spacing w:val="-4"/>
                <w:w w:val="101"/>
                <w:sz w:val="24"/>
                <w:szCs w:val="24"/>
                <w:lang w:val="de-DE"/>
              </w:rPr>
              <w:t>236 S.</w:t>
            </w:r>
          </w:p>
          <w:p>
            <w:pPr>
              <w:pStyle w:val="20"/>
              <w:numPr>
                <w:ilvl w:val="0"/>
                <w:numId w:val="1"/>
              </w:numPr>
              <w:spacing w:after="0" w:line="240" w:lineRule="auto"/>
              <w:jc w:val="both"/>
              <w:rPr>
                <w:rFonts w:ascii="Times New Roman" w:hAnsi="Times New Roman"/>
                <w:sz w:val="24"/>
                <w:szCs w:val="24"/>
                <w:lang w:val="de-DE"/>
              </w:rPr>
            </w:pPr>
            <w:r>
              <w:rPr>
                <w:rFonts w:ascii="Times New Roman" w:hAnsi="Times New Roman"/>
                <w:color w:val="000000"/>
                <w:spacing w:val="-4"/>
                <w:w w:val="101"/>
                <w:sz w:val="24"/>
                <w:szCs w:val="24"/>
                <w:lang w:val="de-DE"/>
              </w:rPr>
              <w:t>Fluck H-R. Fachsprachen. - Francke Verlag München, 1976. - 241 S.</w:t>
            </w:r>
          </w:p>
          <w:p>
            <w:pPr>
              <w:pStyle w:val="20"/>
              <w:numPr>
                <w:ilvl w:val="0"/>
                <w:numId w:val="1"/>
              </w:numPr>
              <w:spacing w:after="0" w:line="240" w:lineRule="auto"/>
              <w:jc w:val="both"/>
              <w:rPr>
                <w:rFonts w:ascii="Times New Roman" w:hAnsi="Times New Roman"/>
                <w:sz w:val="24"/>
                <w:szCs w:val="24"/>
                <w:lang w:val="de-DE"/>
              </w:rPr>
            </w:pPr>
            <w:r>
              <w:rPr>
                <w:rFonts w:ascii="Times New Roman" w:hAnsi="Times New Roman"/>
                <w:color w:val="000000"/>
                <w:spacing w:val="-3"/>
                <w:w w:val="101"/>
                <w:sz w:val="24"/>
                <w:szCs w:val="24"/>
                <w:lang w:val="de-DE"/>
              </w:rPr>
              <w:t xml:space="preserve">Snell-Hornby M. et al. (Hgg.). Handbuch Translation. </w:t>
            </w:r>
            <w:r>
              <w:rPr>
                <w:rFonts w:ascii="Times New Roman" w:hAnsi="Times New Roman"/>
                <w:sz w:val="24"/>
                <w:szCs w:val="24"/>
                <w:lang w:val="uk-UA"/>
              </w:rPr>
              <w:t xml:space="preserve">– </w:t>
            </w:r>
            <w:r>
              <w:rPr>
                <w:rFonts w:ascii="Times New Roman" w:hAnsi="Times New Roman"/>
                <w:color w:val="000000"/>
                <w:spacing w:val="-3"/>
                <w:w w:val="101"/>
                <w:sz w:val="24"/>
                <w:szCs w:val="24"/>
                <w:lang w:val="de-DE"/>
              </w:rPr>
              <w:t xml:space="preserve">Tübingen: Stauffenburg, </w:t>
            </w:r>
            <w:r>
              <w:rPr>
                <w:rFonts w:ascii="Times New Roman" w:hAnsi="Times New Roman"/>
                <w:color w:val="000000"/>
                <w:w w:val="101"/>
                <w:sz w:val="24"/>
                <w:szCs w:val="24"/>
                <w:lang w:val="de-DE"/>
              </w:rPr>
              <w:t xml:space="preserve">1999. </w:t>
            </w:r>
            <w:r>
              <w:rPr>
                <w:rFonts w:ascii="Times New Roman" w:hAnsi="Times New Roman"/>
                <w:sz w:val="24"/>
                <w:szCs w:val="24"/>
                <w:lang w:val="uk-UA"/>
              </w:rPr>
              <w:t xml:space="preserve">– </w:t>
            </w:r>
            <w:r>
              <w:rPr>
                <w:rFonts w:ascii="Times New Roman" w:hAnsi="Times New Roman"/>
                <w:color w:val="000000"/>
                <w:w w:val="101"/>
                <w:sz w:val="24"/>
                <w:szCs w:val="24"/>
                <w:lang w:val="de-DE"/>
              </w:rPr>
              <w:t>432 S.</w:t>
            </w:r>
          </w:p>
          <w:p>
            <w:pPr>
              <w:pStyle w:val="19"/>
              <w:spacing w:after="23"/>
              <w:ind w:left="14"/>
              <w:rPr>
                <w:lang w:val="de-DE"/>
              </w:rPr>
            </w:pP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spacing w:after="0" w:line="240" w:lineRule="auto"/>
              <w:jc w:val="center"/>
              <w:rPr>
                <w:rFonts w:ascii="Times New Roman" w:hAnsi="Times New Roman" w:cs="Times New Roman"/>
                <w:b/>
                <w:bCs/>
                <w:i/>
                <w:spacing w:val="-6"/>
                <w:sz w:val="24"/>
                <w:szCs w:val="24"/>
              </w:rPr>
            </w:pPr>
          </w:p>
          <w:p>
            <w:pPr>
              <w:pStyle w:val="20"/>
              <w:numPr>
                <w:ilvl w:val="0"/>
                <w:numId w:val="2"/>
              </w:numPr>
              <w:spacing w:after="0" w:line="240" w:lineRule="auto"/>
              <w:jc w:val="both"/>
              <w:rPr>
                <w:rFonts w:ascii="Times New Roman" w:hAnsi="Times New Roman"/>
                <w:sz w:val="24"/>
                <w:szCs w:val="24"/>
              </w:rPr>
            </w:pPr>
            <w:r>
              <w:rPr>
                <w:rFonts w:ascii="Times New Roman" w:hAnsi="Times New Roman"/>
                <w:sz w:val="24"/>
                <w:szCs w:val="24"/>
                <w:lang w:val="uk-UA"/>
              </w:rPr>
              <w:t xml:space="preserve">Кучер З.І. Практика перекладу: навч. посібник для студ. вищих навч. закладів. - Вінниця: Нова Книга, 2013. - 504 с. </w:t>
            </w:r>
          </w:p>
          <w:p>
            <w:pPr>
              <w:pStyle w:val="20"/>
              <w:numPr>
                <w:ilvl w:val="0"/>
                <w:numId w:val="2"/>
              </w:numPr>
              <w:spacing w:after="0" w:line="240" w:lineRule="auto"/>
              <w:jc w:val="both"/>
              <w:rPr>
                <w:rFonts w:ascii="Times New Roman" w:hAnsi="Times New Roman"/>
                <w:sz w:val="24"/>
                <w:szCs w:val="24"/>
              </w:rPr>
            </w:pPr>
            <w:r>
              <w:rPr>
                <w:rFonts w:ascii="Times New Roman" w:hAnsi="Times New Roman"/>
                <w:sz w:val="24"/>
                <w:szCs w:val="24"/>
                <w:lang w:val="uk-UA"/>
              </w:rPr>
              <w:t>Міщенко А.Л. Лінгвістика фахових мов та сучасна модель науково-технічного перекладу: монографія. - Вінниця: Нова книга, 2013.- 448 с.</w:t>
            </w:r>
          </w:p>
          <w:p>
            <w:pPr>
              <w:spacing w:after="0" w:line="240" w:lineRule="auto"/>
              <w:ind w:left="374"/>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4"/>
              <w:spacing w:after="0" w:line="240" w:lineRule="auto"/>
              <w:jc w:val="both"/>
              <w:rPr>
                <w:rFonts w:ascii="Times New Roman" w:hAnsi="Times New Roman" w:cs="Times New Roman"/>
                <w:b/>
                <w:bCs/>
                <w:i/>
                <w:spacing w:val="-6"/>
                <w:sz w:val="24"/>
              </w:rPr>
            </w:pP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"https://www.native-translator.de/uebersetzungen/dokumente.html" </w:instrText>
            </w:r>
            <w:r>
              <w:fldChar w:fldCharType="separate"/>
            </w:r>
            <w:r>
              <w:rPr>
                <w:rStyle w:val="9"/>
              </w:rPr>
              <w:t>https://www.native-translator.de/uebersetzungen/dokumente.html</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"https://uk.wikipedia.org/wiki/%D0%94%D0%BE%D0%BA%D1%83%D0%BC%D0%B5%D0%BD%D1%82" </w:instrText>
            </w:r>
            <w:r>
              <w:fldChar w:fldCharType="separate"/>
            </w:r>
            <w:r>
              <w:rPr>
                <w:rStyle w:val="9"/>
              </w:rPr>
              <w:t>https://uk.wikipedia.org/wiki/%D0%94%D0%BE%D0%BA%D1%83%D0%BC%D0%B5%D0%BD%D1%82</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"https://by.bdue.de/fileadmin/verbaende/by/Dateien/PDF-Dateien/Mitglieder_Beeidigte_UE/BDUE_BY_Leitlinie_zum_Urkundenuebersetzen.pdf" </w:instrText>
            </w:r>
            <w:r>
              <w:fldChar w:fldCharType="separate"/>
            </w:r>
            <w:r>
              <w:rPr>
                <w:rStyle w:val="9"/>
              </w:rPr>
              <w:t>https://by.bdue.de/fileadmin/verbaende/by/Dateien/PDF-Dateien/Mitglieder_Beeidigte_UE/BDUE_BY_Leitlinie_zum_Urkundenuebersetzen.pdf</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"https://ehlion.com/de/magazin/uebersetzungsprogramme/" </w:instrText>
            </w:r>
            <w:r>
              <w:fldChar w:fldCharType="separate"/>
            </w:r>
            <w:r>
              <w:rPr>
                <w:rStyle w:val="9"/>
              </w:rPr>
              <w:t>https://ehlion.com/de/magazin/uebersetzungsprogramme/</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"https://www.allesprachen.at/fachbereiche/beglaubigte-uebersetzungen/" </w:instrText>
            </w:r>
            <w:r>
              <w:fldChar w:fldCharType="separate"/>
            </w:r>
            <w:r>
              <w:rPr>
                <w:rStyle w:val="9"/>
              </w:rPr>
              <w:t>https://www.allesprachen.at/fachbereiche/beglaubigte-uebersetzungen/</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"https://linguacontact.com/de/customs/" </w:instrText>
            </w:r>
            <w:r>
              <w:fldChar w:fldCharType="separate"/>
            </w:r>
            <w:r>
              <w:rPr>
                <w:rStyle w:val="9"/>
              </w:rPr>
              <w:t>https://linguacontact.com/de/customs/</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"https://context.reverso.net/%C3%BCbersetzung/deutsch-englisch/Zolldokumente" </w:instrText>
            </w:r>
            <w:r>
              <w:fldChar w:fldCharType="separate"/>
            </w:r>
            <w:r>
              <w:rPr>
                <w:rStyle w:val="9"/>
              </w:rPr>
              <w:t>https://context.reverso.net/%C3%BCbersetzung/deutsch-englisch/Zolldokumente</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"https://www.researchgate.net/publication/258106718_Ubersetzen_von_Rechtstexten_Fachkommunikation_im_Spannungsfeld_zwischen_Rechtsordnung_und_Sprache" </w:instrText>
            </w:r>
            <w:r>
              <w:fldChar w:fldCharType="separate"/>
            </w:r>
            <w:r>
              <w:rPr>
                <w:rStyle w:val="9"/>
              </w:rPr>
              <w:t>https://www.researchgate.net/publication/258106718_Ubersetzen_von_Rechtstexten_Fachkommunikation_im_Spannungsfeld_zwischen_Rechtsordnung_und_Sprache</w:t>
            </w:r>
            <w:r>
              <w:rPr>
                <w:rStyle w:val="9"/>
              </w:rPr>
              <w:fldChar w:fldCharType="end"/>
            </w:r>
          </w:p>
          <w:p>
            <w:pPr>
              <w:pStyle w:val="14"/>
              <w:numPr>
                <w:ilvl w:val="0"/>
                <w:numId w:val="3"/>
              </w:numPr>
              <w:spacing w:after="0" w:line="240" w:lineRule="auto"/>
              <w:jc w:val="both"/>
              <w:rPr>
                <w:rFonts w:ascii="Times New Roman" w:hAnsi="Times New Roman"/>
                <w:b/>
                <w:bCs/>
                <w:i/>
                <w:spacing w:val="-6"/>
                <w:sz w:val="24"/>
              </w:rPr>
            </w:pPr>
            <w:r>
              <w:fldChar w:fldCharType="begin"/>
            </w:r>
            <w:r>
              <w:instrText xml:space="preserve"> HYPERLINK "https://studfile.net/preview/5186080/page:6/" </w:instrText>
            </w:r>
            <w:r>
              <w:fldChar w:fldCharType="separate"/>
            </w:r>
            <w:r>
              <w:rPr>
                <w:rStyle w:val="9"/>
              </w:rPr>
              <w:t>https://studfile.net/preview/5186080</w:t>
            </w:r>
            <w:r>
              <w:rPr>
                <w:rStyle w:val="9"/>
              </w:rPr>
              <w:fldChar w:fldCharType="end"/>
            </w:r>
          </w:p>
          <w:p>
            <w:pPr>
              <w:pStyle w:val="14"/>
              <w:numPr>
                <w:ilvl w:val="0"/>
                <w:numId w:val="3"/>
              </w:numPr>
              <w:spacing w:after="0" w:line="240" w:lineRule="auto"/>
              <w:jc w:val="both"/>
              <w:rPr>
                <w:rFonts w:ascii="Times New Roman" w:hAnsi="Times New Roman" w:cs="Times New Roman"/>
                <w:bCs/>
                <w:spacing w:val="-6"/>
                <w:sz w:val="24"/>
              </w:rPr>
            </w:pPr>
            <w:r>
              <w:fldChar w:fldCharType="begin"/>
            </w:r>
            <w:r>
              <w:instrText xml:space="preserve"> HYPERLINK "https://uchebnik-online.net/book/36-oficijno-dilovij-dokument-osnovni-vimogi-ta-pravila-skladannya-navchalno-praktichnij-posibnik-a-m-nelyuba/4-rozdil-i-dokument.html" </w:instrText>
            </w:r>
            <w:r>
              <w:fldChar w:fldCharType="separate"/>
            </w:r>
            <w:r>
              <w:rPr>
                <w:rStyle w:val="9"/>
              </w:rPr>
              <w:t>https://uchebnik-online.net/book/36-oficijno-dilovij-dokument-osnovni-vimogi-ta-pravila-skladannya-navchalno-praktichnij-posibnik-a-m-nelyuba/4-rozdil-i-dokument.html</w:t>
            </w:r>
            <w:r>
              <w:rPr>
                <w:rStyle w:val="9"/>
              </w:rPr>
              <w:fldChar w:fldCharType="end"/>
            </w:r>
          </w:p>
          <w:p>
            <w:pPr>
              <w:pStyle w:val="14"/>
              <w:spacing w:after="0" w:line="240" w:lineRule="auto"/>
              <w:jc w:val="both"/>
              <w:rPr>
                <w:rFonts w:ascii="Times New Roman" w:hAnsi="Times New Roman" w:cs="Times New Roman"/>
                <w:bCs/>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8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(7)</w:t>
            </w:r>
            <w:r>
              <w:rPr>
                <w:rFonts w:ascii="Times New Roman" w:hAnsi="Times New Roman" w:cs="Times New Roman"/>
                <w:sz w:val="24"/>
                <w:szCs w:val="24"/>
                <w:lang w:val="ru-RU"/>
              </w:rPr>
              <w:t>, 90</w:t>
            </w:r>
            <w:r>
              <w:rPr>
                <w:rFonts w:ascii="Times New Roman" w:hAnsi="Times New Roman" w:cs="Times New Roman"/>
                <w:sz w:val="24"/>
                <w:szCs w:val="24"/>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8822"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Загальна кількість годин – </w:t>
            </w:r>
            <w:r>
              <w:rPr>
                <w:rFonts w:ascii="Times New Roman" w:hAnsi="Times New Roman" w:cs="Times New Roman"/>
                <w:sz w:val="24"/>
                <w:szCs w:val="24"/>
                <w:lang w:val="ru-RU"/>
              </w:rPr>
              <w:t>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ru-RU"/>
              </w:rPr>
              <w:t>2</w:t>
            </w:r>
            <w:r>
              <w:rPr>
                <w:rFonts w:ascii="Times New Roman" w:hAnsi="Times New Roman" w:cs="Times New Roman"/>
                <w:sz w:val="24"/>
                <w:szCs w:val="24"/>
              </w:rPr>
              <w:t xml:space="preserve"> години аудиторних занять, з них </w:t>
            </w:r>
            <w:r>
              <w:rPr>
                <w:rFonts w:ascii="Times New Roman" w:hAnsi="Times New Roman" w:cs="Times New Roman"/>
                <w:sz w:val="24"/>
                <w:szCs w:val="24"/>
                <w:lang w:val="ru-RU"/>
              </w:rPr>
              <w:t>32</w:t>
            </w:r>
            <w:r>
              <w:rPr>
                <w:rFonts w:ascii="Times New Roman" w:hAnsi="Times New Roman" w:cs="Times New Roman"/>
                <w:sz w:val="24"/>
                <w:szCs w:val="24"/>
              </w:rPr>
              <w:t xml:space="preserve"> годин лекцій,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8822"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pStyle w:val="14"/>
              <w:numPr>
                <w:ilvl w:val="0"/>
                <w:numId w:val="4"/>
              </w:numPr>
              <w:tabs>
                <w:tab w:val="left" w:pos="284"/>
                <w:tab w:val="left" w:pos="567"/>
              </w:tabs>
              <w:spacing w:after="0" w:line="240" w:lineRule="auto"/>
              <w:ind w:left="102" w:hanging="142"/>
              <w:jc w:val="both"/>
              <w:rPr>
                <w:rFonts w:ascii="Times New Roman" w:hAnsi="Times New Roman" w:cs="Times New Roman"/>
                <w:sz w:val="24"/>
                <w:lang w:val="ru-RU"/>
              </w:rPr>
            </w:pPr>
            <w:r>
              <w:rPr>
                <w:rFonts w:ascii="Times New Roman" w:hAnsi="Times New Roman" w:cs="Times New Roman"/>
                <w:color w:val="000000"/>
                <w:sz w:val="24"/>
              </w:rPr>
              <w:t>визначення письмового перекладу, його структурних відмінностей від інших форм перекладу;</w:t>
            </w:r>
            <w:r>
              <w:rPr>
                <w:rFonts w:ascii="Times New Roman" w:hAnsi="Times New Roman" w:cs="Times New Roman"/>
                <w:sz w:val="24"/>
              </w:rPr>
              <w:t xml:space="preserve"> </w:t>
            </w:r>
          </w:p>
          <w:p>
            <w:pPr>
              <w:pStyle w:val="14"/>
              <w:numPr>
                <w:ilvl w:val="0"/>
                <w:numId w:val="4"/>
              </w:numPr>
              <w:spacing w:after="0" w:line="240" w:lineRule="auto"/>
              <w:ind w:left="102" w:hanging="142"/>
              <w:rPr>
                <w:rFonts w:ascii="Times New Roman" w:hAnsi="Times New Roman" w:cs="Times New Roman"/>
                <w:sz w:val="24"/>
              </w:rPr>
            </w:pPr>
            <w:r>
              <w:rPr>
                <w:rFonts w:ascii="Times New Roman" w:hAnsi="Times New Roman" w:cs="Times New Roman"/>
                <w:sz w:val="24"/>
              </w:rPr>
              <w:t>основні види офіційно-ділових документів;</w:t>
            </w:r>
          </w:p>
          <w:p>
            <w:pPr>
              <w:pStyle w:val="14"/>
              <w:numPr>
                <w:ilvl w:val="0"/>
                <w:numId w:val="4"/>
              </w:numPr>
              <w:spacing w:after="0" w:line="240" w:lineRule="auto"/>
              <w:ind w:left="102" w:hanging="142"/>
              <w:rPr>
                <w:rFonts w:ascii="Times New Roman" w:hAnsi="Times New Roman" w:cs="Times New Roman"/>
                <w:sz w:val="24"/>
              </w:rPr>
            </w:pPr>
            <w:r>
              <w:rPr>
                <w:rFonts w:ascii="Times New Roman" w:hAnsi="Times New Roman" w:cs="Times New Roman"/>
                <w:sz w:val="24"/>
              </w:rPr>
              <w:t>структуру та реквізити офіційно-ділових  документів;</w:t>
            </w:r>
          </w:p>
          <w:p>
            <w:pPr>
              <w:pStyle w:val="14"/>
              <w:numPr>
                <w:ilvl w:val="0"/>
                <w:numId w:val="4"/>
              </w:numPr>
              <w:spacing w:after="0" w:line="240" w:lineRule="auto"/>
              <w:ind w:left="102" w:hanging="142"/>
              <w:rPr>
                <w:rFonts w:ascii="Times New Roman" w:hAnsi="Times New Roman" w:cs="Times New Roman"/>
                <w:sz w:val="24"/>
              </w:rPr>
            </w:pPr>
            <w:r>
              <w:rPr>
                <w:rFonts w:ascii="Times New Roman" w:hAnsi="Times New Roman" w:cs="Times New Roman"/>
                <w:sz w:val="24"/>
              </w:rPr>
              <w:t>загальні вимоги до  оформлення перекладених документів;</w:t>
            </w:r>
          </w:p>
          <w:p>
            <w:pPr>
              <w:pStyle w:val="14"/>
              <w:numPr>
                <w:ilvl w:val="0"/>
                <w:numId w:val="4"/>
              </w:numPr>
              <w:spacing w:after="0" w:line="240" w:lineRule="auto"/>
              <w:ind w:left="102" w:hanging="142"/>
              <w:jc w:val="both"/>
              <w:rPr>
                <w:rFonts w:ascii="Times New Roman" w:hAnsi="Times New Roman" w:cs="Times New Roman"/>
                <w:color w:val="000000"/>
                <w:sz w:val="24"/>
              </w:rPr>
            </w:pPr>
            <w:r>
              <w:rPr>
                <w:rFonts w:ascii="Times New Roman" w:hAnsi="Times New Roman" w:cs="Times New Roman"/>
                <w:color w:val="000000"/>
                <w:sz w:val="24"/>
              </w:rPr>
              <w:t>принципи побудови, написання та аналізу текстів офіційно-ділового стилю.</w:t>
            </w:r>
          </w:p>
          <w:p>
            <w:pPr>
              <w:tabs>
                <w:tab w:val="left" w:pos="284"/>
                <w:tab w:val="left" w:pos="567"/>
              </w:tabs>
              <w:spacing w:after="0" w:line="240" w:lineRule="auto"/>
              <w:ind w:left="102" w:hanging="142"/>
              <w:jc w:val="both"/>
              <w:rPr>
                <w:rFonts w:ascii="Times New Roman" w:hAnsi="Times New Roman" w:cs="Times New Roman"/>
                <w:b/>
                <w:sz w:val="24"/>
              </w:rPr>
            </w:pPr>
            <w:r>
              <w:rPr>
                <w:rFonts w:ascii="Times New Roman" w:hAnsi="Times New Roman" w:cs="Times New Roman"/>
                <w:b/>
                <w:sz w:val="24"/>
              </w:rPr>
              <w:t xml:space="preserve">      </w:t>
            </w:r>
          </w:p>
          <w:p>
            <w:pPr>
              <w:tabs>
                <w:tab w:val="left" w:pos="284"/>
                <w:tab w:val="left" w:pos="567"/>
              </w:tabs>
              <w:spacing w:after="0" w:line="240" w:lineRule="auto"/>
              <w:ind w:left="102" w:hanging="142"/>
              <w:jc w:val="both"/>
              <w:rPr>
                <w:rFonts w:ascii="Times New Roman" w:hAnsi="Times New Roman" w:cs="Times New Roman"/>
                <w:b/>
                <w:sz w:val="24"/>
              </w:rPr>
            </w:pPr>
            <w:r>
              <w:rPr>
                <w:rFonts w:ascii="Times New Roman" w:hAnsi="Times New Roman" w:cs="Times New Roman"/>
                <w:b/>
                <w:sz w:val="24"/>
              </w:rPr>
              <w:t xml:space="preserve"> вміти: </w:t>
            </w:r>
          </w:p>
          <w:p>
            <w:pPr>
              <w:tabs>
                <w:tab w:val="left" w:pos="284"/>
                <w:tab w:val="left" w:pos="567"/>
              </w:tabs>
              <w:spacing w:after="0" w:line="240" w:lineRule="auto"/>
              <w:ind w:left="102" w:hanging="142"/>
              <w:jc w:val="both"/>
              <w:rPr>
                <w:rFonts w:ascii="Times New Roman" w:hAnsi="Times New Roman" w:cs="Times New Roman"/>
                <w:b/>
                <w:sz w:val="24"/>
              </w:rPr>
            </w:pPr>
          </w:p>
          <w:p>
            <w:pPr>
              <w:pStyle w:val="14"/>
              <w:numPr>
                <w:ilvl w:val="0"/>
                <w:numId w:val="5"/>
              </w:numPr>
              <w:spacing w:after="0" w:line="240" w:lineRule="auto"/>
              <w:ind w:left="102" w:hanging="142"/>
              <w:jc w:val="both"/>
              <w:rPr>
                <w:rStyle w:val="23"/>
                <w:rFonts w:ascii="Times New Roman" w:hAnsi="Times New Roman" w:cs="Times New Roman"/>
                <w:color w:val="000000"/>
                <w:sz w:val="24"/>
              </w:rPr>
            </w:pPr>
            <w:r>
              <w:rPr>
                <w:rStyle w:val="23"/>
                <w:rFonts w:ascii="Times New Roman" w:hAnsi="Times New Roman" w:cs="Times New Roman"/>
                <w:color w:val="000000"/>
                <w:sz w:val="24"/>
                <w:szCs w:val="24"/>
                <w:shd w:val="clear" w:color="auto" w:fill="FFFFFF"/>
              </w:rPr>
              <w:t> </w:t>
            </w:r>
            <w:r>
              <w:rPr>
                <w:rFonts w:ascii="Times New Roman" w:hAnsi="Times New Roman" w:cs="Times New Roman"/>
                <w:color w:val="000000"/>
                <w:sz w:val="24"/>
                <w:lang w:eastAsia="uk-UA"/>
              </w:rPr>
              <w:t>послуговуватися теоретичними положеннями щодо жанрової специфіки текстів для їх застосування у практиці перекладу;</w:t>
            </w:r>
            <w:r>
              <w:rPr>
                <w:rFonts w:ascii="Times New Roman" w:hAnsi="Times New Roman" w:cs="Times New Roman"/>
                <w:sz w:val="24"/>
                <w:lang w:eastAsia="uk-UA"/>
              </w:rPr>
              <w:t> </w:t>
            </w:r>
          </w:p>
          <w:p>
            <w:pPr>
              <w:pStyle w:val="14"/>
              <w:numPr>
                <w:ilvl w:val="0"/>
                <w:numId w:val="5"/>
              </w:numPr>
              <w:spacing w:after="0" w:line="240" w:lineRule="auto"/>
              <w:ind w:left="102" w:hanging="142"/>
              <w:jc w:val="both"/>
              <w:rPr>
                <w:rStyle w:val="23"/>
                <w:rFonts w:ascii="Times New Roman" w:hAnsi="Times New Roman" w:cs="Times New Roman"/>
                <w:color w:val="000000"/>
                <w:sz w:val="24"/>
              </w:rPr>
            </w:pPr>
            <w:r>
              <w:rPr>
                <w:rStyle w:val="23"/>
                <w:rFonts w:ascii="Times New Roman" w:hAnsi="Times New Roman" w:cs="Times New Roman"/>
                <w:color w:val="000000"/>
                <w:sz w:val="24"/>
                <w:szCs w:val="24"/>
                <w:shd w:val="clear" w:color="auto" w:fill="FFFFFF"/>
              </w:rPr>
              <w:t>застосовувати принципи, технології і прийоми створення усних і письмових текстів різних жанрів і стилів українською та іноземною мовами;</w:t>
            </w:r>
          </w:p>
          <w:p>
            <w:pPr>
              <w:pStyle w:val="14"/>
              <w:numPr>
                <w:ilvl w:val="0"/>
                <w:numId w:val="5"/>
              </w:numPr>
              <w:spacing w:before="100" w:beforeAutospacing="1" w:after="100" w:afterAutospacing="1" w:line="240" w:lineRule="auto"/>
              <w:ind w:left="102" w:hanging="142"/>
              <w:jc w:val="both"/>
              <w:rPr>
                <w:rFonts w:ascii="Times New Roman" w:hAnsi="Times New Roman" w:cs="Times New Roman"/>
                <w:sz w:val="24"/>
              </w:rPr>
            </w:pPr>
            <w:r>
              <w:rPr>
                <w:rFonts w:ascii="Times New Roman" w:hAnsi="Times New Roman" w:cs="Times New Roman"/>
                <w:color w:val="000000"/>
                <w:sz w:val="24"/>
              </w:rPr>
              <w:t>адекватно перекладати тексти офіційно-ділового стилю з урахуванням мовностилістичних та жанрово-композиційних особливостей вихідної та цільової культур;</w:t>
            </w:r>
          </w:p>
          <w:p>
            <w:pPr>
              <w:numPr>
                <w:ilvl w:val="0"/>
                <w:numId w:val="5"/>
              </w:numPr>
              <w:spacing w:before="100" w:beforeAutospacing="1" w:after="100" w:afterAutospacing="1" w:line="240" w:lineRule="auto"/>
              <w:ind w:left="102" w:hanging="142"/>
              <w:rPr>
                <w:rFonts w:ascii="Times New Roman" w:hAnsi="Times New Roman" w:cs="Times New Roman"/>
                <w:sz w:val="24"/>
              </w:rPr>
            </w:pPr>
            <w:r>
              <w:rPr>
                <w:rFonts w:ascii="Times New Roman" w:hAnsi="Times New Roman" w:cs="Times New Roman"/>
                <w:sz w:val="24"/>
              </w:rPr>
              <w:t>розрізняти види  документів з притаманними їм особливостями будови та мовного оформлення;</w:t>
            </w:r>
          </w:p>
          <w:p>
            <w:pPr>
              <w:numPr>
                <w:ilvl w:val="0"/>
                <w:numId w:val="5"/>
              </w:numPr>
              <w:spacing w:after="0" w:line="240" w:lineRule="auto"/>
              <w:ind w:left="102" w:hanging="142"/>
              <w:jc w:val="both"/>
              <w:rPr>
                <w:rFonts w:ascii="Times New Roman" w:hAnsi="Times New Roman" w:cs="Times New Roman"/>
                <w:color w:val="000000"/>
                <w:sz w:val="24"/>
              </w:rPr>
            </w:pPr>
            <w:r>
              <w:rPr>
                <w:rFonts w:ascii="Times New Roman" w:hAnsi="Times New Roman" w:cs="Times New Roman"/>
                <w:color w:val="000000"/>
                <w:sz w:val="24"/>
              </w:rPr>
              <w:t>знаходити, обробляти та аналізувати  інформацію у словниках, системах машинного перекладу та пошукових базах;</w:t>
            </w:r>
          </w:p>
          <w:p>
            <w:pPr>
              <w:numPr>
                <w:ilvl w:val="0"/>
                <w:numId w:val="5"/>
              </w:numPr>
              <w:spacing w:before="100" w:beforeAutospacing="1" w:after="100" w:afterAutospacing="1" w:line="240" w:lineRule="auto"/>
              <w:ind w:left="102" w:hanging="142"/>
              <w:jc w:val="both"/>
              <w:rPr>
                <w:sz w:val="24"/>
                <w:lang w:val="ru-RU"/>
              </w:rPr>
            </w:pPr>
            <w:r>
              <w:rPr>
                <w:rFonts w:ascii="Times New Roman" w:hAnsi="Times New Roman" w:cs="Times New Roman"/>
                <w:sz w:val="24"/>
              </w:rPr>
              <w:t>ефективно використовувати  контекст, різні типи словників,  інтернет-ресурси.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 документ, офіційний, діловий</w:t>
            </w:r>
          </w:p>
          <w:p>
            <w:pPr>
              <w:tabs>
                <w:tab w:val="left" w:pos="284"/>
                <w:tab w:val="left" w:pos="567"/>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консультацій, виконання самостійної роботи для кращого усвідомлення специфіки перекладу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Виставляється автоматично на підставі врахування поточної успішності протягом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«Українська мова», «Вступ до мовознавства», "Теорія перекладу"достатніх для сприйняття категоріального апарату в рамках дисципліни.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spacing w:after="0" w:line="240" w:lineRule="auto"/>
              <w:ind w:left="142" w:firstLine="567"/>
              <w:jc w:val="both"/>
              <w:rPr>
                <w:rFonts w:ascii="Times New Roman" w:hAnsi="Times New Roman" w:cs="Times New Roman"/>
                <w:sz w:val="24"/>
              </w:rPr>
            </w:pPr>
            <w:r>
              <w:rPr>
                <w:rFonts w:ascii="Times New Roman" w:hAnsi="Times New Roman" w:cs="Times New Roman"/>
                <w:sz w:val="24"/>
                <w:szCs w:val="24"/>
              </w:rPr>
              <w:t xml:space="preserve">Серед методів навчання, зокрема, підлягають застосуванню наступні: </w:t>
            </w:r>
          </w:p>
          <w:p>
            <w:pPr>
              <w:spacing w:after="0" w:line="240" w:lineRule="auto"/>
              <w:jc w:val="both"/>
              <w:rPr>
                <w:rFonts w:ascii="Times New Roman" w:hAnsi="Times New Roman" w:cs="Times New Roman"/>
                <w:sz w:val="24"/>
              </w:rPr>
            </w:pPr>
            <w:r>
              <w:rPr>
                <w:rFonts w:ascii="Times New Roman" w:hAnsi="Times New Roman" w:cs="Times New Roman"/>
                <w:color w:val="000000"/>
                <w:sz w:val="24"/>
                <w:lang w:eastAsia="uk-UA"/>
              </w:rPr>
              <w:t>інформаційно-рецептивні (розповідь, пояснення, бесіда, демонстрація, спостереження); проблемний виклад навчального матеріалу; частково-пошуковий та дослідницький методи; наочні (робота з таблицями, схемами тощо); практичні заняття, індивідуальні завдання (підготовка реферату тощо), 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проведення творчих заходів, використання мультимедійних комп’ютерних програм та залучення носіїв мови.</w:t>
            </w:r>
            <w:r>
              <w:rPr>
                <w:rFonts w:ascii="Times New Roman" w:hAnsi="Times New Roman" w:cs="Times New Roman"/>
                <w:sz w:val="24"/>
                <w:lang w:eastAsia="uk-UA"/>
              </w:rPr>
              <w:t> </w:t>
            </w:r>
          </w:p>
          <w:p>
            <w:pPr>
              <w:tabs>
                <w:tab w:val="left" w:pos="284"/>
                <w:tab w:val="left" w:pos="567"/>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аудиторних занять -  ноутбук і проектор.</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конкретної 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882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студентів,що регламентовані в університеті. Після завершення курсу студент/ка отримує оцінку за залік на основі оцінок, які він/вона отримав/ла, виконуючи контрольні роботи.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дві модульні контрольні роботи: 50% семестрової оцінки;максимальна кількість балів – 50 балів (2 х 10);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підсумкова контрольна робота :40% семестрової оцінки;максимальна кількість балів –40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«Переклад офіційно-ділових документів». Зміст СРС з дисципліни «Переклад офіційно-ділових документів» складається з таких видів роботи:самостійне опрацювання окремих тем навчальної дисципліни згідно з навчально-тематичним планом, пошук додаткової інформації щодо окремих питань курсу;тренування перекладацьких навичок на основі вільного вибору матеріалів;підготовка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самостійно готується до занять. Списування, втручання в роботу інших студентів становлять, але не обмежують, приклади можливої академічної недоброчесності.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заняття курсу. Студенти мають інформувати викладача про неможливість відвідати заняття.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опрацьовувались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за виконання індивідуальних завдань (самостійна робота). При цьому обов’язково враховуються присутність на заняттях та активність студента під час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882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jc w:val="both"/>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863"/>
    <w:multiLevelType w:val="multilevel"/>
    <w:tmpl w:val="108A38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6357850"/>
    <w:multiLevelType w:val="multilevel"/>
    <w:tmpl w:val="26357850"/>
    <w:lvl w:ilvl="0" w:tentative="0">
      <w:start w:val="1"/>
      <w:numFmt w:val="decimal"/>
      <w:lvlText w:val="%1."/>
      <w:lvlJc w:val="left"/>
      <w:pPr>
        <w:ind w:left="1181" w:hanging="360"/>
      </w:pPr>
    </w:lvl>
    <w:lvl w:ilvl="1" w:tentative="0">
      <w:start w:val="1"/>
      <w:numFmt w:val="lowerLetter"/>
      <w:lvlText w:val="%2."/>
      <w:lvlJc w:val="left"/>
      <w:pPr>
        <w:ind w:left="1901" w:hanging="360"/>
      </w:pPr>
    </w:lvl>
    <w:lvl w:ilvl="2" w:tentative="0">
      <w:start w:val="1"/>
      <w:numFmt w:val="lowerRoman"/>
      <w:lvlText w:val="%3."/>
      <w:lvlJc w:val="right"/>
      <w:pPr>
        <w:ind w:left="2621" w:hanging="180"/>
      </w:pPr>
    </w:lvl>
    <w:lvl w:ilvl="3" w:tentative="0">
      <w:start w:val="1"/>
      <w:numFmt w:val="decimal"/>
      <w:lvlText w:val="%4."/>
      <w:lvlJc w:val="left"/>
      <w:pPr>
        <w:ind w:left="3341" w:hanging="360"/>
      </w:pPr>
    </w:lvl>
    <w:lvl w:ilvl="4" w:tentative="0">
      <w:start w:val="1"/>
      <w:numFmt w:val="lowerLetter"/>
      <w:lvlText w:val="%5."/>
      <w:lvlJc w:val="left"/>
      <w:pPr>
        <w:ind w:left="4061" w:hanging="360"/>
      </w:pPr>
    </w:lvl>
    <w:lvl w:ilvl="5" w:tentative="0">
      <w:start w:val="1"/>
      <w:numFmt w:val="lowerRoman"/>
      <w:lvlText w:val="%6."/>
      <w:lvlJc w:val="right"/>
      <w:pPr>
        <w:ind w:left="4781" w:hanging="180"/>
      </w:pPr>
    </w:lvl>
    <w:lvl w:ilvl="6" w:tentative="0">
      <w:start w:val="1"/>
      <w:numFmt w:val="decimal"/>
      <w:lvlText w:val="%7."/>
      <w:lvlJc w:val="left"/>
      <w:pPr>
        <w:ind w:left="5501" w:hanging="360"/>
      </w:pPr>
    </w:lvl>
    <w:lvl w:ilvl="7" w:tentative="0">
      <w:start w:val="1"/>
      <w:numFmt w:val="lowerLetter"/>
      <w:lvlText w:val="%8."/>
      <w:lvlJc w:val="left"/>
      <w:pPr>
        <w:ind w:left="6221" w:hanging="360"/>
      </w:pPr>
    </w:lvl>
    <w:lvl w:ilvl="8" w:tentative="0">
      <w:start w:val="1"/>
      <w:numFmt w:val="lowerRoman"/>
      <w:lvlText w:val="%9."/>
      <w:lvlJc w:val="right"/>
      <w:pPr>
        <w:ind w:left="6941" w:hanging="180"/>
      </w:pPr>
    </w:lvl>
  </w:abstractNum>
  <w:abstractNum w:abstractNumId="2">
    <w:nsid w:val="5354741E"/>
    <w:multiLevelType w:val="multilevel"/>
    <w:tmpl w:val="5354741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8507819"/>
    <w:multiLevelType w:val="multilevel"/>
    <w:tmpl w:val="7850781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7F51201F"/>
    <w:multiLevelType w:val="multilevel"/>
    <w:tmpl w:val="7F51201F"/>
    <w:lvl w:ilvl="0" w:tentative="0">
      <w:start w:val="1"/>
      <w:numFmt w:val="decimal"/>
      <w:lvlText w:val="%1."/>
      <w:lvlJc w:val="left"/>
      <w:pPr>
        <w:ind w:left="821" w:hanging="360"/>
      </w:pPr>
    </w:lvl>
    <w:lvl w:ilvl="1" w:tentative="0">
      <w:start w:val="1"/>
      <w:numFmt w:val="lowerLetter"/>
      <w:lvlText w:val="%2."/>
      <w:lvlJc w:val="left"/>
      <w:pPr>
        <w:ind w:left="1541" w:hanging="360"/>
      </w:pPr>
    </w:lvl>
    <w:lvl w:ilvl="2" w:tentative="0">
      <w:start w:val="1"/>
      <w:numFmt w:val="lowerRoman"/>
      <w:lvlText w:val="%3."/>
      <w:lvlJc w:val="right"/>
      <w:pPr>
        <w:ind w:left="2261" w:hanging="180"/>
      </w:pPr>
    </w:lvl>
    <w:lvl w:ilvl="3" w:tentative="0">
      <w:start w:val="1"/>
      <w:numFmt w:val="decimal"/>
      <w:lvlText w:val="%4."/>
      <w:lvlJc w:val="left"/>
      <w:pPr>
        <w:ind w:left="2981" w:hanging="360"/>
      </w:pPr>
    </w:lvl>
    <w:lvl w:ilvl="4" w:tentative="0">
      <w:start w:val="1"/>
      <w:numFmt w:val="lowerLetter"/>
      <w:lvlText w:val="%5."/>
      <w:lvlJc w:val="left"/>
      <w:pPr>
        <w:ind w:left="3701" w:hanging="360"/>
      </w:pPr>
    </w:lvl>
    <w:lvl w:ilvl="5" w:tentative="0">
      <w:start w:val="1"/>
      <w:numFmt w:val="lowerRoman"/>
      <w:lvlText w:val="%6."/>
      <w:lvlJc w:val="right"/>
      <w:pPr>
        <w:ind w:left="4421" w:hanging="180"/>
      </w:pPr>
    </w:lvl>
    <w:lvl w:ilvl="6" w:tentative="0">
      <w:start w:val="1"/>
      <w:numFmt w:val="decimal"/>
      <w:lvlText w:val="%7."/>
      <w:lvlJc w:val="left"/>
      <w:pPr>
        <w:ind w:left="5141" w:hanging="360"/>
      </w:pPr>
    </w:lvl>
    <w:lvl w:ilvl="7" w:tentative="0">
      <w:start w:val="1"/>
      <w:numFmt w:val="lowerLetter"/>
      <w:lvlText w:val="%8."/>
      <w:lvlJc w:val="left"/>
      <w:pPr>
        <w:ind w:left="5861" w:hanging="360"/>
      </w:pPr>
    </w:lvl>
    <w:lvl w:ilvl="8" w:tentative="0">
      <w:start w:val="1"/>
      <w:numFmt w:val="lowerRoman"/>
      <w:lvlText w:val="%9."/>
      <w:lvlJc w:val="right"/>
      <w:pPr>
        <w:ind w:left="6581"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2"/>
  </w:compat>
  <w:rsids>
    <w:rsidRoot w:val="00A14F99"/>
    <w:rsid w:val="000045EC"/>
    <w:rsid w:val="000142D5"/>
    <w:rsid w:val="0001550E"/>
    <w:rsid w:val="00022CAB"/>
    <w:rsid w:val="00026DD2"/>
    <w:rsid w:val="00035310"/>
    <w:rsid w:val="00036C16"/>
    <w:rsid w:val="00037F46"/>
    <w:rsid w:val="000474BE"/>
    <w:rsid w:val="00060228"/>
    <w:rsid w:val="000644E8"/>
    <w:rsid w:val="000668B0"/>
    <w:rsid w:val="0007486D"/>
    <w:rsid w:val="0008136F"/>
    <w:rsid w:val="000838A5"/>
    <w:rsid w:val="00086DF1"/>
    <w:rsid w:val="00087F79"/>
    <w:rsid w:val="00090C59"/>
    <w:rsid w:val="000963DC"/>
    <w:rsid w:val="000968BD"/>
    <w:rsid w:val="000B024B"/>
    <w:rsid w:val="000C3454"/>
    <w:rsid w:val="000C39AA"/>
    <w:rsid w:val="000D3453"/>
    <w:rsid w:val="000D5359"/>
    <w:rsid w:val="000D639A"/>
    <w:rsid w:val="000D69EC"/>
    <w:rsid w:val="000D7469"/>
    <w:rsid w:val="000E1EFC"/>
    <w:rsid w:val="000E5773"/>
    <w:rsid w:val="000E6ABA"/>
    <w:rsid w:val="000F1E7C"/>
    <w:rsid w:val="001036C7"/>
    <w:rsid w:val="00104F9F"/>
    <w:rsid w:val="00110FFE"/>
    <w:rsid w:val="00112DF1"/>
    <w:rsid w:val="00115593"/>
    <w:rsid w:val="001220E5"/>
    <w:rsid w:val="00126419"/>
    <w:rsid w:val="0013312D"/>
    <w:rsid w:val="001474A8"/>
    <w:rsid w:val="00147CA5"/>
    <w:rsid w:val="001512F1"/>
    <w:rsid w:val="00154C3D"/>
    <w:rsid w:val="0016454C"/>
    <w:rsid w:val="001666C5"/>
    <w:rsid w:val="00170AD3"/>
    <w:rsid w:val="001823C7"/>
    <w:rsid w:val="00185C3C"/>
    <w:rsid w:val="001A3CC0"/>
    <w:rsid w:val="001C2E13"/>
    <w:rsid w:val="001C4800"/>
    <w:rsid w:val="001D02EC"/>
    <w:rsid w:val="001E036B"/>
    <w:rsid w:val="001F1DC1"/>
    <w:rsid w:val="0020008C"/>
    <w:rsid w:val="00200813"/>
    <w:rsid w:val="0023189C"/>
    <w:rsid w:val="0024467C"/>
    <w:rsid w:val="00246A5B"/>
    <w:rsid w:val="00255CCF"/>
    <w:rsid w:val="002567B2"/>
    <w:rsid w:val="00280CEE"/>
    <w:rsid w:val="002824B0"/>
    <w:rsid w:val="00291490"/>
    <w:rsid w:val="0029693D"/>
    <w:rsid w:val="0029704F"/>
    <w:rsid w:val="002B5D05"/>
    <w:rsid w:val="002B5E45"/>
    <w:rsid w:val="002C1578"/>
    <w:rsid w:val="002C3E1A"/>
    <w:rsid w:val="002C7C78"/>
    <w:rsid w:val="002D6EAC"/>
    <w:rsid w:val="002E1C10"/>
    <w:rsid w:val="002E398D"/>
    <w:rsid w:val="002F201F"/>
    <w:rsid w:val="002F3A04"/>
    <w:rsid w:val="0031763F"/>
    <w:rsid w:val="00317C5A"/>
    <w:rsid w:val="003216B7"/>
    <w:rsid w:val="00324625"/>
    <w:rsid w:val="003520DA"/>
    <w:rsid w:val="00353240"/>
    <w:rsid w:val="003607B5"/>
    <w:rsid w:val="0036673A"/>
    <w:rsid w:val="00366EDB"/>
    <w:rsid w:val="0037198D"/>
    <w:rsid w:val="003758AD"/>
    <w:rsid w:val="0037642A"/>
    <w:rsid w:val="0037689B"/>
    <w:rsid w:val="00377564"/>
    <w:rsid w:val="00395881"/>
    <w:rsid w:val="00395883"/>
    <w:rsid w:val="00396B43"/>
    <w:rsid w:val="003A1B35"/>
    <w:rsid w:val="003A6AE1"/>
    <w:rsid w:val="003B2BD1"/>
    <w:rsid w:val="003B701F"/>
    <w:rsid w:val="003C59C0"/>
    <w:rsid w:val="003D1CE9"/>
    <w:rsid w:val="003D7511"/>
    <w:rsid w:val="003E5524"/>
    <w:rsid w:val="003E78EB"/>
    <w:rsid w:val="003F282E"/>
    <w:rsid w:val="003F75A8"/>
    <w:rsid w:val="0041100C"/>
    <w:rsid w:val="004113ED"/>
    <w:rsid w:val="00421927"/>
    <w:rsid w:val="004229F5"/>
    <w:rsid w:val="0043130C"/>
    <w:rsid w:val="00451988"/>
    <w:rsid w:val="004563A3"/>
    <w:rsid w:val="00464607"/>
    <w:rsid w:val="00473081"/>
    <w:rsid w:val="00474594"/>
    <w:rsid w:val="0048170C"/>
    <w:rsid w:val="00484403"/>
    <w:rsid w:val="00487750"/>
    <w:rsid w:val="00493879"/>
    <w:rsid w:val="004961E2"/>
    <w:rsid w:val="004A14D9"/>
    <w:rsid w:val="004A4050"/>
    <w:rsid w:val="004A4416"/>
    <w:rsid w:val="004A4E9E"/>
    <w:rsid w:val="004A7396"/>
    <w:rsid w:val="004A7887"/>
    <w:rsid w:val="004C37DA"/>
    <w:rsid w:val="004D224B"/>
    <w:rsid w:val="004D5660"/>
    <w:rsid w:val="004F1C3E"/>
    <w:rsid w:val="004F43DE"/>
    <w:rsid w:val="00504FAE"/>
    <w:rsid w:val="0051675C"/>
    <w:rsid w:val="0052475E"/>
    <w:rsid w:val="00530816"/>
    <w:rsid w:val="00531126"/>
    <w:rsid w:val="0053225B"/>
    <w:rsid w:val="00543A92"/>
    <w:rsid w:val="00554647"/>
    <w:rsid w:val="0057027C"/>
    <w:rsid w:val="00571E70"/>
    <w:rsid w:val="005839FE"/>
    <w:rsid w:val="00584F53"/>
    <w:rsid w:val="005871A6"/>
    <w:rsid w:val="005A7553"/>
    <w:rsid w:val="005A7AA5"/>
    <w:rsid w:val="005B0D4C"/>
    <w:rsid w:val="005B3A52"/>
    <w:rsid w:val="005D462F"/>
    <w:rsid w:val="005E430C"/>
    <w:rsid w:val="005E53B6"/>
    <w:rsid w:val="005E5599"/>
    <w:rsid w:val="005E5FBD"/>
    <w:rsid w:val="005F3825"/>
    <w:rsid w:val="005F4973"/>
    <w:rsid w:val="005F606F"/>
    <w:rsid w:val="006044AD"/>
    <w:rsid w:val="00622338"/>
    <w:rsid w:val="0063013B"/>
    <w:rsid w:val="00630C92"/>
    <w:rsid w:val="00633166"/>
    <w:rsid w:val="006348E4"/>
    <w:rsid w:val="00661710"/>
    <w:rsid w:val="00677C05"/>
    <w:rsid w:val="00683E0B"/>
    <w:rsid w:val="006A43E2"/>
    <w:rsid w:val="006B39B6"/>
    <w:rsid w:val="006B3D72"/>
    <w:rsid w:val="006C50EF"/>
    <w:rsid w:val="006C5C0A"/>
    <w:rsid w:val="006D2B4B"/>
    <w:rsid w:val="006D478B"/>
    <w:rsid w:val="006E0793"/>
    <w:rsid w:val="006E3282"/>
    <w:rsid w:val="006E7259"/>
    <w:rsid w:val="006F2872"/>
    <w:rsid w:val="006F7E05"/>
    <w:rsid w:val="00710CF1"/>
    <w:rsid w:val="007233EF"/>
    <w:rsid w:val="00740E45"/>
    <w:rsid w:val="00745231"/>
    <w:rsid w:val="00753E89"/>
    <w:rsid w:val="00757015"/>
    <w:rsid w:val="00766878"/>
    <w:rsid w:val="00766C01"/>
    <w:rsid w:val="00772DCD"/>
    <w:rsid w:val="0078790E"/>
    <w:rsid w:val="00787BB8"/>
    <w:rsid w:val="007912E9"/>
    <w:rsid w:val="007944E8"/>
    <w:rsid w:val="007A4A95"/>
    <w:rsid w:val="007E2646"/>
    <w:rsid w:val="007E3DD6"/>
    <w:rsid w:val="007F2861"/>
    <w:rsid w:val="007F53EC"/>
    <w:rsid w:val="007F5CEE"/>
    <w:rsid w:val="00802300"/>
    <w:rsid w:val="008135AD"/>
    <w:rsid w:val="00840ED2"/>
    <w:rsid w:val="00841287"/>
    <w:rsid w:val="00846175"/>
    <w:rsid w:val="00847F5E"/>
    <w:rsid w:val="00856E0C"/>
    <w:rsid w:val="00863EC7"/>
    <w:rsid w:val="00872736"/>
    <w:rsid w:val="008733B0"/>
    <w:rsid w:val="00873F85"/>
    <w:rsid w:val="008809E8"/>
    <w:rsid w:val="00885E02"/>
    <w:rsid w:val="00886C22"/>
    <w:rsid w:val="00894D2C"/>
    <w:rsid w:val="008A0E05"/>
    <w:rsid w:val="008A4A79"/>
    <w:rsid w:val="008A52E3"/>
    <w:rsid w:val="008B7AB3"/>
    <w:rsid w:val="008C3905"/>
    <w:rsid w:val="008C740E"/>
    <w:rsid w:val="008D090D"/>
    <w:rsid w:val="008D5CEE"/>
    <w:rsid w:val="008E212B"/>
    <w:rsid w:val="008F1502"/>
    <w:rsid w:val="008F65D3"/>
    <w:rsid w:val="008F7638"/>
    <w:rsid w:val="00906503"/>
    <w:rsid w:val="00912931"/>
    <w:rsid w:val="00912D1B"/>
    <w:rsid w:val="009206AE"/>
    <w:rsid w:val="00925000"/>
    <w:rsid w:val="00926690"/>
    <w:rsid w:val="00943B24"/>
    <w:rsid w:val="00945524"/>
    <w:rsid w:val="00954370"/>
    <w:rsid w:val="009608A3"/>
    <w:rsid w:val="00963DF3"/>
    <w:rsid w:val="00976026"/>
    <w:rsid w:val="00995A90"/>
    <w:rsid w:val="009B1BC4"/>
    <w:rsid w:val="009C02DF"/>
    <w:rsid w:val="009F3413"/>
    <w:rsid w:val="009F4C7F"/>
    <w:rsid w:val="00A06637"/>
    <w:rsid w:val="00A11B5D"/>
    <w:rsid w:val="00A124E2"/>
    <w:rsid w:val="00A14F99"/>
    <w:rsid w:val="00A171EB"/>
    <w:rsid w:val="00A22147"/>
    <w:rsid w:val="00A27E42"/>
    <w:rsid w:val="00A32EA4"/>
    <w:rsid w:val="00A333ED"/>
    <w:rsid w:val="00A3485C"/>
    <w:rsid w:val="00A36AEE"/>
    <w:rsid w:val="00A40F16"/>
    <w:rsid w:val="00A40F5A"/>
    <w:rsid w:val="00A55DAF"/>
    <w:rsid w:val="00A63694"/>
    <w:rsid w:val="00A65B9E"/>
    <w:rsid w:val="00A72D32"/>
    <w:rsid w:val="00A81469"/>
    <w:rsid w:val="00A9666D"/>
    <w:rsid w:val="00AA301A"/>
    <w:rsid w:val="00AA3454"/>
    <w:rsid w:val="00AB31FF"/>
    <w:rsid w:val="00AC5066"/>
    <w:rsid w:val="00AC64BF"/>
    <w:rsid w:val="00AD5B28"/>
    <w:rsid w:val="00AD6D50"/>
    <w:rsid w:val="00B13D0F"/>
    <w:rsid w:val="00B16DDD"/>
    <w:rsid w:val="00B176C7"/>
    <w:rsid w:val="00B17A00"/>
    <w:rsid w:val="00B21F1D"/>
    <w:rsid w:val="00B3747F"/>
    <w:rsid w:val="00B37B8C"/>
    <w:rsid w:val="00B46BC2"/>
    <w:rsid w:val="00B5602C"/>
    <w:rsid w:val="00B63118"/>
    <w:rsid w:val="00B70E20"/>
    <w:rsid w:val="00B7661F"/>
    <w:rsid w:val="00B76F7A"/>
    <w:rsid w:val="00B82652"/>
    <w:rsid w:val="00B83657"/>
    <w:rsid w:val="00B900AD"/>
    <w:rsid w:val="00B96B32"/>
    <w:rsid w:val="00BA0648"/>
    <w:rsid w:val="00BA5AF6"/>
    <w:rsid w:val="00BC2662"/>
    <w:rsid w:val="00BC3238"/>
    <w:rsid w:val="00BD09E5"/>
    <w:rsid w:val="00BD58B9"/>
    <w:rsid w:val="00BE36CD"/>
    <w:rsid w:val="00BE4B72"/>
    <w:rsid w:val="00BF0DCC"/>
    <w:rsid w:val="00BF379C"/>
    <w:rsid w:val="00C06783"/>
    <w:rsid w:val="00C071CF"/>
    <w:rsid w:val="00C15F59"/>
    <w:rsid w:val="00C16614"/>
    <w:rsid w:val="00C173A1"/>
    <w:rsid w:val="00C30424"/>
    <w:rsid w:val="00C32AC1"/>
    <w:rsid w:val="00C54A86"/>
    <w:rsid w:val="00C54FB1"/>
    <w:rsid w:val="00C55822"/>
    <w:rsid w:val="00C60DCF"/>
    <w:rsid w:val="00C65C7B"/>
    <w:rsid w:val="00C65C7E"/>
    <w:rsid w:val="00C65F69"/>
    <w:rsid w:val="00C75674"/>
    <w:rsid w:val="00C80F24"/>
    <w:rsid w:val="00C81BD4"/>
    <w:rsid w:val="00C85589"/>
    <w:rsid w:val="00C85CB8"/>
    <w:rsid w:val="00C95DBF"/>
    <w:rsid w:val="00CA0EED"/>
    <w:rsid w:val="00CA1B66"/>
    <w:rsid w:val="00CA43D1"/>
    <w:rsid w:val="00CA68D4"/>
    <w:rsid w:val="00CD610B"/>
    <w:rsid w:val="00CE0A75"/>
    <w:rsid w:val="00CE0BC8"/>
    <w:rsid w:val="00CF0147"/>
    <w:rsid w:val="00CF2CBB"/>
    <w:rsid w:val="00CF3304"/>
    <w:rsid w:val="00CF38FE"/>
    <w:rsid w:val="00CF7B63"/>
    <w:rsid w:val="00D10361"/>
    <w:rsid w:val="00D1431A"/>
    <w:rsid w:val="00D178C0"/>
    <w:rsid w:val="00D25775"/>
    <w:rsid w:val="00D4199B"/>
    <w:rsid w:val="00D42B62"/>
    <w:rsid w:val="00D44328"/>
    <w:rsid w:val="00D44F54"/>
    <w:rsid w:val="00D46615"/>
    <w:rsid w:val="00D46B73"/>
    <w:rsid w:val="00D53949"/>
    <w:rsid w:val="00D56BFF"/>
    <w:rsid w:val="00D61AB9"/>
    <w:rsid w:val="00D66059"/>
    <w:rsid w:val="00D72547"/>
    <w:rsid w:val="00D72CF1"/>
    <w:rsid w:val="00D7410C"/>
    <w:rsid w:val="00D943ED"/>
    <w:rsid w:val="00DA4300"/>
    <w:rsid w:val="00DB10D9"/>
    <w:rsid w:val="00DC262A"/>
    <w:rsid w:val="00DC3EF4"/>
    <w:rsid w:val="00DC410A"/>
    <w:rsid w:val="00DD3511"/>
    <w:rsid w:val="00DD44B6"/>
    <w:rsid w:val="00DD49E4"/>
    <w:rsid w:val="00DD5365"/>
    <w:rsid w:val="00DE0F70"/>
    <w:rsid w:val="00DE4E6F"/>
    <w:rsid w:val="00DE500D"/>
    <w:rsid w:val="00DF618D"/>
    <w:rsid w:val="00E0490E"/>
    <w:rsid w:val="00E05661"/>
    <w:rsid w:val="00E17BFC"/>
    <w:rsid w:val="00E21327"/>
    <w:rsid w:val="00E21EC5"/>
    <w:rsid w:val="00E22534"/>
    <w:rsid w:val="00E271CB"/>
    <w:rsid w:val="00E33C03"/>
    <w:rsid w:val="00E40064"/>
    <w:rsid w:val="00E434A9"/>
    <w:rsid w:val="00E51E49"/>
    <w:rsid w:val="00E7172A"/>
    <w:rsid w:val="00E807A5"/>
    <w:rsid w:val="00E851AC"/>
    <w:rsid w:val="00E90868"/>
    <w:rsid w:val="00EA4023"/>
    <w:rsid w:val="00EA5BBB"/>
    <w:rsid w:val="00EA72ED"/>
    <w:rsid w:val="00EC47B3"/>
    <w:rsid w:val="00EC7941"/>
    <w:rsid w:val="00EC7F60"/>
    <w:rsid w:val="00ED0B47"/>
    <w:rsid w:val="00ED3D02"/>
    <w:rsid w:val="00ED4A1E"/>
    <w:rsid w:val="00ED679D"/>
    <w:rsid w:val="00EE1595"/>
    <w:rsid w:val="00EE3967"/>
    <w:rsid w:val="00EF022E"/>
    <w:rsid w:val="00EF2C86"/>
    <w:rsid w:val="00EF37F4"/>
    <w:rsid w:val="00F0134F"/>
    <w:rsid w:val="00F06DB8"/>
    <w:rsid w:val="00F107C4"/>
    <w:rsid w:val="00F13359"/>
    <w:rsid w:val="00F20A92"/>
    <w:rsid w:val="00F23949"/>
    <w:rsid w:val="00F57A38"/>
    <w:rsid w:val="00F57AEF"/>
    <w:rsid w:val="00F622CF"/>
    <w:rsid w:val="00F66F80"/>
    <w:rsid w:val="00F72017"/>
    <w:rsid w:val="00F75570"/>
    <w:rsid w:val="00FA030D"/>
    <w:rsid w:val="00FA656E"/>
    <w:rsid w:val="00FC5BAC"/>
    <w:rsid w:val="00FC683D"/>
    <w:rsid w:val="00FC74B7"/>
    <w:rsid w:val="00FD2F64"/>
    <w:rsid w:val="00FD4244"/>
    <w:rsid w:val="00FD6660"/>
    <w:rsid w:val="00FD7C58"/>
    <w:rsid w:val="00FE1D10"/>
    <w:rsid w:val="00FE4E29"/>
    <w:rsid w:val="00FF1538"/>
    <w:rsid w:val="00FF58ED"/>
    <w:rsid w:val="00FF68F5"/>
    <w:rsid w:val="7BFFD667"/>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uiPriority w:val="99"/>
    <w:pPr>
      <w:spacing w:after="0" w:line="240" w:lineRule="auto"/>
    </w:pPr>
    <w:rPr>
      <w:rFonts w:ascii="Tahoma" w:hAnsi="Tahoma" w:cs="Tahoma"/>
      <w:sz w:val="16"/>
      <w:szCs w:val="16"/>
    </w:rPr>
  </w:style>
  <w:style w:type="paragraph" w:styleId="6">
    <w:name w:val="Body Text"/>
    <w:basedOn w:val="1"/>
    <w:link w:val="17"/>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uiPriority w:val="99"/>
    <w:rPr>
      <w:color w:val="800080" w:themeColor="followedHyperlink"/>
      <w:u w:val="single"/>
    </w:rPr>
  </w:style>
  <w:style w:type="character" w:styleId="9">
    <w:name w:val="Hyperlink"/>
    <w:basedOn w:val="7"/>
    <w:unhideWhenUsed/>
    <w:uiPriority w:val="99"/>
    <w:rPr>
      <w:color w:val="0000FF" w:themeColor="hyperlink"/>
      <w:u w:val="single"/>
    </w:rPr>
  </w:style>
  <w:style w:type="table" w:styleId="11">
    <w:name w:val="Table Grid"/>
    <w:basedOn w:val="10"/>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Заголовок 1 Знак"/>
    <w:basedOn w:val="7"/>
    <w:link w:val="2"/>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Заголовок 4 Знак"/>
    <w:basedOn w:val="7"/>
    <w:link w:val="3"/>
    <w:semiHidden/>
    <w:uiPriority w:val="9"/>
    <w:rPr>
      <w:rFonts w:asciiTheme="majorHAnsi" w:hAnsiTheme="majorHAnsi" w:eastAsiaTheme="majorEastAsia" w:cstheme="majorBidi"/>
      <w:b/>
      <w:bCs/>
      <w:i/>
      <w:iCs/>
      <w:color w:val="4F81BD" w:themeColor="accent1"/>
    </w:rPr>
  </w:style>
  <w:style w:type="character" w:customStyle="1" w:styleId="16">
    <w:name w:val="Заголовок 7 Знак"/>
    <w:basedOn w:val="7"/>
    <w:link w:val="4"/>
    <w:semiHidden/>
    <w:uiPriority w:val="9"/>
    <w:rPr>
      <w:rFonts w:asciiTheme="majorHAnsi" w:hAnsiTheme="majorHAnsi" w:eastAsiaTheme="majorEastAsia" w:cstheme="majorBidi"/>
      <w:i/>
      <w:iCs/>
      <w:color w:val="3F3F3F" w:themeColor="text1" w:themeTint="BF"/>
    </w:rPr>
  </w:style>
  <w:style w:type="character" w:customStyle="1" w:styleId="17">
    <w:name w:val="Основной текст Знак"/>
    <w:basedOn w:val="7"/>
    <w:link w:val="6"/>
    <w:uiPriority w:val="0"/>
    <w:rPr>
      <w:rFonts w:ascii="Times New Roman" w:hAnsi="Times New Roman" w:eastAsia="Times New Roman" w:cs="Times New Roman"/>
      <w:sz w:val="28"/>
      <w:szCs w:val="24"/>
      <w:lang w:val="ru-RU" w:eastAsia="ru-RU"/>
    </w:rPr>
  </w:style>
  <w:style w:type="character" w:customStyle="1" w:styleId="18">
    <w:name w:val="Текст выноски Знак"/>
    <w:basedOn w:val="7"/>
    <w:link w:val="5"/>
    <w:semiHidden/>
    <w:uiPriority w:val="99"/>
    <w:rPr>
      <w:rFonts w:ascii="Tahoma" w:hAnsi="Tahoma" w:cs="Tahoma"/>
      <w:sz w:val="16"/>
      <w:szCs w:val="16"/>
    </w:rPr>
  </w:style>
  <w:style w:type="paragraph" w:customStyle="1" w:styleId="1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paragraph" w:customStyle="1" w:styleId="20">
    <w:name w:val="Абзац списка1"/>
    <w:basedOn w:val="1"/>
    <w:qFormat/>
    <w:uiPriority w:val="34"/>
    <w:pPr>
      <w:ind w:left="720"/>
      <w:contextualSpacing/>
    </w:pPr>
    <w:rPr>
      <w:rFonts w:ascii="Calibri" w:hAnsi="Calibri" w:eastAsia="Times New Roman" w:cs="Times New Roman"/>
      <w:lang w:val="ru-RU" w:eastAsia="ru-RU"/>
    </w:rPr>
  </w:style>
  <w:style w:type="character" w:customStyle="1" w:styleId="21">
    <w:name w:val="toctext"/>
    <w:basedOn w:val="7"/>
    <w:uiPriority w:val="0"/>
  </w:style>
  <w:style w:type="character" w:customStyle="1" w:styleId="22">
    <w:name w:val="tocnumber"/>
    <w:basedOn w:val="7"/>
    <w:uiPriority w:val="0"/>
  </w:style>
  <w:style w:type="character" w:customStyle="1" w:styleId="23">
    <w:name w:val="normaltextrun"/>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9980</Words>
  <Characters>5690</Characters>
  <Lines>47</Lines>
  <Paragraphs>31</Paragraphs>
  <TotalTime>0</TotalTime>
  <ScaleCrop>false</ScaleCrop>
  <LinksUpToDate>false</LinksUpToDate>
  <CharactersWithSpaces>15639</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2020-01-31T22:38:00Z</dcterms:created>
  <dc:creator>Taras Pyts</dc:creator>
  <cp:lastModifiedBy>olgadenys</cp:lastModifiedBy>
  <cp:lastPrinted>2020-01-27T13:28:00Z</cp:lastPrinted>
  <dcterms:modified xsi:type="dcterms:W3CDTF">2021-02-18T18:22:12Z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