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113" w:rsidRPr="00BF254B" w:rsidRDefault="00554113" w:rsidP="00554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254B">
        <w:rPr>
          <w:rFonts w:ascii="Times New Roman" w:eastAsia="Times New Roman" w:hAnsi="Times New Roman" w:cs="Times New Roman"/>
          <w:b/>
          <w:sz w:val="24"/>
          <w:szCs w:val="24"/>
        </w:rPr>
        <w:t xml:space="preserve">Силабус курсу </w:t>
      </w:r>
      <w:r w:rsidR="006F1579">
        <w:rPr>
          <w:rFonts w:ascii="Times New Roman" w:eastAsia="Times New Roman" w:hAnsi="Times New Roman" w:cs="Times New Roman"/>
          <w:b/>
          <w:sz w:val="24"/>
          <w:szCs w:val="24"/>
        </w:rPr>
        <w:t>ПЕРЕКЛАД ДІЛОВОЇ КОМУНІКАЦІЇ</w:t>
      </w:r>
    </w:p>
    <w:p w:rsidR="00554113" w:rsidRPr="00BF254B" w:rsidRDefault="00554113" w:rsidP="00554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254B">
        <w:rPr>
          <w:rFonts w:ascii="Times New Roman" w:eastAsia="Times New Roman" w:hAnsi="Times New Roman" w:cs="Times New Roman"/>
          <w:b/>
          <w:sz w:val="24"/>
          <w:szCs w:val="24"/>
        </w:rPr>
        <w:t>2019-2020 навчального року</w:t>
      </w:r>
    </w:p>
    <w:p w:rsidR="00554113" w:rsidRPr="00BF254B" w:rsidRDefault="00554113" w:rsidP="00554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113" w:rsidRPr="00BF254B" w:rsidRDefault="00554113" w:rsidP="005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554113" w:rsidRPr="00BF254B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13" w:rsidRPr="00BF254B" w:rsidRDefault="00554113" w:rsidP="004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13" w:rsidRPr="00BF254B" w:rsidRDefault="006F1579" w:rsidP="0049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 ділової к</w:t>
            </w:r>
            <w:r w:rsidR="009A6E6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мунікації</w:t>
            </w:r>
          </w:p>
        </w:tc>
      </w:tr>
      <w:tr w:rsidR="00554113" w:rsidRPr="00BF254B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13" w:rsidRPr="00BF254B" w:rsidRDefault="00554113" w:rsidP="004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13" w:rsidRPr="00BF254B" w:rsidRDefault="00554113" w:rsidP="0049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перекладознавства і контрастивної лінгвістики імені Григорія Кочура, факультет іноземних мови, </w:t>
            </w: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ЛНУ імені Івана Франка</w:t>
            </w:r>
          </w:p>
        </w:tc>
      </w:tr>
      <w:tr w:rsidR="00554113" w:rsidRPr="00BF254B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13" w:rsidRPr="00BF254B" w:rsidRDefault="00554113" w:rsidP="004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13" w:rsidRPr="00BF254B" w:rsidRDefault="00554113" w:rsidP="004925D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 іноземних мов, кафедра перекладознавства і контрастивної лінгвістики імені Григорія Кочура</w:t>
            </w:r>
          </w:p>
        </w:tc>
      </w:tr>
      <w:tr w:rsidR="00554113" w:rsidRPr="00BF254B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13" w:rsidRPr="00BF254B" w:rsidRDefault="00554113" w:rsidP="004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13" w:rsidRPr="00BF254B" w:rsidRDefault="00554113" w:rsidP="0049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 – Гуманітарні науки, 035 – Філологія, 1.035.04 Германські мови та літератури (англо-український переклад)</w:t>
            </w:r>
          </w:p>
        </w:tc>
      </w:tr>
      <w:tr w:rsidR="00554113" w:rsidRPr="00BF254B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13" w:rsidRPr="00BF254B" w:rsidRDefault="00554113" w:rsidP="004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13" w:rsidRPr="00BF254B" w:rsidRDefault="00554113" w:rsidP="0049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Бриська Орислава Ярославівна, к. філол. н., асистент</w:t>
            </w:r>
          </w:p>
        </w:tc>
      </w:tr>
      <w:tr w:rsidR="00554113" w:rsidRPr="00BF254B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13" w:rsidRPr="00BF254B" w:rsidRDefault="00554113" w:rsidP="004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13" w:rsidRPr="00BF254B" w:rsidRDefault="00554113" w:rsidP="0049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BF254B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perekladoznavstvo@gmail.com</w:t>
              </w:r>
            </w:hyperlink>
          </w:p>
        </w:tc>
      </w:tr>
      <w:tr w:rsidR="00554113" w:rsidRPr="00BF254B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13" w:rsidRPr="00BF254B" w:rsidRDefault="00554113" w:rsidP="004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13" w:rsidRPr="00BF254B" w:rsidRDefault="00554113" w:rsidP="0049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 он-лайн консультації через Skype або подібні ресурси. Для погодження часу он-лайн консультацій прошу писати на електронну пошту або дзвонити.</w:t>
            </w:r>
          </w:p>
        </w:tc>
      </w:tr>
      <w:tr w:rsidR="00554113" w:rsidRPr="00BF254B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13" w:rsidRPr="00BF254B" w:rsidRDefault="00554113" w:rsidP="004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13" w:rsidRPr="00BF254B" w:rsidRDefault="00554113" w:rsidP="0049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113" w:rsidRPr="00BF254B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13" w:rsidRPr="00BF254B" w:rsidRDefault="00554113" w:rsidP="004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13" w:rsidRPr="00BF254B" w:rsidRDefault="00554113" w:rsidP="0049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r w:rsidR="009A6E69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здійснювати переклад</w:t>
            </w:r>
            <w:r w:rsidRPr="007B2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6E69">
              <w:rPr>
                <w:rFonts w:ascii="Times New Roman" w:eastAsia="Times New Roman" w:hAnsi="Times New Roman" w:cs="Times New Roman"/>
                <w:sz w:val="24"/>
                <w:szCs w:val="24"/>
              </w:rPr>
              <w:t>ділової комунікації різної за формою та жанром</w:t>
            </w:r>
            <w:r w:rsidRPr="007B2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внаслідок чого студенти розвивають своє розуміння головних положень цієї </w:t>
            </w:r>
            <w:r w:rsidR="009A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прикладної </w:t>
            </w:r>
            <w:r w:rsidRPr="007B2E75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науки, ознайомлюються з відповідною метамовою і починають оперувати нею репродуктивно.</w:t>
            </w:r>
          </w:p>
        </w:tc>
      </w:tr>
      <w:tr w:rsidR="00554113" w:rsidRPr="00BF254B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13" w:rsidRPr="00BF254B" w:rsidRDefault="00554113" w:rsidP="004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13" w:rsidRPr="00BF254B" w:rsidRDefault="00554113" w:rsidP="0049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Дисципліна «</w:t>
            </w:r>
            <w:r w:rsidR="009A6E6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 ділової комунікації</w:t>
            </w: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є вибірковою дисципліною з спеціальності англо-український переклад для освітньої програми германські мови та літератури, яка викладається </w:t>
            </w:r>
            <w:r w:rsidR="009A6E6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семестрі в обсязі 3 кредитів (за Європейською Кредитно-Трансферною Системою ECTS).</w:t>
            </w:r>
          </w:p>
        </w:tc>
      </w:tr>
      <w:tr w:rsidR="00554113" w:rsidRPr="00BF254B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13" w:rsidRPr="00BF254B" w:rsidRDefault="00554113" w:rsidP="004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13" w:rsidRPr="00BF254B" w:rsidRDefault="00554113" w:rsidP="0049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Метою вивчення</w:t>
            </w:r>
            <w:r w:rsidR="009A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вибіркової дисципліни «</w:t>
            </w:r>
            <w:r w:rsidR="009A6E6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</w:t>
            </w:r>
            <w:r w:rsidR="002529C3" w:rsidRPr="00252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29C3">
              <w:rPr>
                <w:rFonts w:ascii="Times New Roman" w:eastAsia="Times New Roman" w:hAnsi="Times New Roman" w:cs="Times New Roman"/>
                <w:sz w:val="24"/>
                <w:szCs w:val="24"/>
              </w:rPr>
              <w:t>ділової комунікації</w:t>
            </w: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є ознайомлення студентів із завданнями, 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пов’язаними з </w:t>
            </w:r>
            <w:r w:rsidR="0025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аналізом різних форм ділової комунікації для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роботи з перекладом у цій галузі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висвітлити концепції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таких видів перекладу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принципи роботи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такими видами перекладу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4113" w:rsidRPr="00BF254B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13" w:rsidRPr="00BF254B" w:rsidRDefault="00554113" w:rsidP="004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7A" w:rsidRDefault="00E16BCA" w:rsidP="00554113">
            <w:pPr>
              <w:numPr>
                <w:ilvl w:val="0"/>
                <w:numId w:val="1"/>
              </w:numPr>
              <w:spacing w:after="0" w:line="240" w:lineRule="auto"/>
              <w:ind w:left="714" w:right="60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Гаркуша В. В. Формування навиків спілкування і комунікативних здібностей в процесі особистісного-орієнтованого навчання усному іноземному мо</w:t>
            </w:r>
            <w:r w:rsidR="00546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ленню : Автореф. дис. к-та псих. наук: 19.00.07 / Наук.-досл. Ін-т психології МНО України. – К., 1992. – 19 с.</w:t>
            </w:r>
          </w:p>
          <w:p w:rsidR="00546928" w:rsidRDefault="00546928" w:rsidP="00546928">
            <w:pPr>
              <w:numPr>
                <w:ilvl w:val="0"/>
                <w:numId w:val="1"/>
              </w:numPr>
              <w:spacing w:after="0" w:line="240" w:lineRule="auto"/>
              <w:ind w:left="714" w:right="60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Плахотнік О. Павленко О. Структура і зміст комунікативно-професійної компетенції фахівців керівної ланки // </w:t>
            </w:r>
            <w:r w:rsidR="006C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Проблеми гуманізму і освіти : Збірник матеріалів науково-методичної конференції</w:t>
            </w:r>
            <w:r w:rsidR="00A7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C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Вінниця, </w:t>
            </w:r>
            <w:r w:rsidR="00A7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 травня 2002 р. : В 2 т. – Вінниця, 2002. – Т. 2. – 312 с.</w:t>
            </w:r>
          </w:p>
          <w:p w:rsidR="00554113" w:rsidRPr="00BF254B" w:rsidRDefault="00554113" w:rsidP="00546928">
            <w:pPr>
              <w:numPr>
                <w:ilvl w:val="0"/>
                <w:numId w:val="1"/>
              </w:numPr>
              <w:spacing w:after="0" w:line="240" w:lineRule="auto"/>
              <w:ind w:left="714" w:right="60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Bassnett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McGuire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S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Translation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Studies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S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Bassnett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McGuire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London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 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New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York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 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Methuen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1980. – 160 р. </w:t>
            </w:r>
          </w:p>
          <w:p w:rsidR="00554113" w:rsidRPr="00BF254B" w:rsidRDefault="00554113" w:rsidP="00554113">
            <w:pPr>
              <w:numPr>
                <w:ilvl w:val="0"/>
                <w:numId w:val="1"/>
              </w:numPr>
              <w:spacing w:after="0" w:line="240" w:lineRule="auto"/>
              <w:ind w:left="714" w:right="60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Berlin B., Kay P. Basic colour terms. –Berkley: Univ. of California, 1969. </w:t>
            </w:r>
          </w:p>
          <w:p w:rsidR="00554113" w:rsidRPr="00BF254B" w:rsidRDefault="00554113" w:rsidP="00554113">
            <w:pPr>
              <w:numPr>
                <w:ilvl w:val="0"/>
                <w:numId w:val="1"/>
              </w:numPr>
              <w:spacing w:after="0" w:line="240" w:lineRule="auto"/>
              <w:ind w:left="714" w:right="60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Caminade M., Pym A. Translator-training institutions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M.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Caminade, A. Pym // Routledge encyclopedia of translation studies /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ed. by M. Baker &amp; K. Malmkjaer. – London 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New York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: Routledge, 1998. – P. 280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285. </w:t>
            </w:r>
          </w:p>
          <w:p w:rsidR="00554113" w:rsidRPr="00BF254B" w:rsidRDefault="00554113" w:rsidP="00554113">
            <w:pPr>
              <w:numPr>
                <w:ilvl w:val="0"/>
                <w:numId w:val="1"/>
              </w:numPr>
              <w:spacing w:after="0" w:line="240" w:lineRule="auto"/>
              <w:ind w:left="714" w:right="60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Nord Ch. Text analysis in translation: Theory, methodology and didactic application of the model for translation-oriented text analysis 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lastRenderedPageBreak/>
              <w:t xml:space="preserve">/ Ch. Nord ; [trans. from German by Ch. Nord &amp; P. Sparrow]. – Amsterdam : Atlanta, Ga, 1991. – 250 p. </w:t>
            </w:r>
          </w:p>
          <w:p w:rsidR="00554113" w:rsidRPr="00BF254B" w:rsidRDefault="00554113" w:rsidP="00BF375F">
            <w:pPr>
              <w:numPr>
                <w:ilvl w:val="0"/>
                <w:numId w:val="1"/>
              </w:numPr>
              <w:spacing w:after="0" w:line="240" w:lineRule="auto"/>
              <w:ind w:left="714" w:right="6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Robinson D. The translator’s turn / D. Robinson. – London ; Baltimore : The John Hopkins Univ. Press, 1991. – 318 p. </w:t>
            </w:r>
          </w:p>
        </w:tc>
      </w:tr>
      <w:tr w:rsidR="00554113" w:rsidRPr="00BF254B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13" w:rsidRPr="00BF254B" w:rsidRDefault="00554113" w:rsidP="004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13" w:rsidRPr="00BF254B" w:rsidRDefault="00554113" w:rsidP="00BF3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90 год.</w:t>
            </w:r>
          </w:p>
        </w:tc>
      </w:tr>
      <w:tr w:rsidR="00554113" w:rsidRPr="00BF254B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13" w:rsidRPr="00BF254B" w:rsidRDefault="00554113" w:rsidP="004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13" w:rsidRPr="00BF254B" w:rsidRDefault="00554113" w:rsidP="0049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 </w:t>
            </w: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годин аудиторних занять. З 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 лекцій,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 лабораторних робіт/практичних занять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554113" w:rsidRPr="00BF254B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13" w:rsidRPr="00BF254B" w:rsidRDefault="00554113" w:rsidP="004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13" w:rsidRPr="00BF254B" w:rsidRDefault="00554113" w:rsidP="0049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:rsidR="00554113" w:rsidRPr="00BF254B" w:rsidRDefault="00554113" w:rsidP="0049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Знати:</w:t>
            </w:r>
          </w:p>
          <w:p w:rsidR="00554113" w:rsidRPr="00373E78" w:rsidRDefault="00554113" w:rsidP="00554113">
            <w:pPr>
              <w:pStyle w:val="a5"/>
              <w:numPr>
                <w:ilvl w:val="0"/>
                <w:numId w:val="2"/>
              </w:numPr>
              <w:spacing w:line="240" w:lineRule="auto"/>
              <w:jc w:val="left"/>
              <w:rPr>
                <w:i w:val="0"/>
                <w:lang w:val="uk-UA"/>
              </w:rPr>
            </w:pPr>
            <w:r w:rsidRPr="00373E78">
              <w:rPr>
                <w:i w:val="0"/>
                <w:lang w:val="uk-UA"/>
              </w:rPr>
              <w:t xml:space="preserve">підходи до </w:t>
            </w:r>
            <w:r w:rsidR="00C0367F">
              <w:rPr>
                <w:i w:val="0"/>
                <w:lang w:val="uk-UA"/>
              </w:rPr>
              <w:t>ділової ком</w:t>
            </w:r>
            <w:r w:rsidR="00377F2E">
              <w:rPr>
                <w:i w:val="0"/>
                <w:lang w:val="uk-UA"/>
              </w:rPr>
              <w:t>у</w:t>
            </w:r>
            <w:r w:rsidR="00C0367F">
              <w:rPr>
                <w:i w:val="0"/>
                <w:lang w:val="uk-UA"/>
              </w:rPr>
              <w:t>нікації</w:t>
            </w:r>
            <w:r w:rsidRPr="00373E78">
              <w:rPr>
                <w:i w:val="0"/>
                <w:lang w:val="uk-UA"/>
              </w:rPr>
              <w:t>,</w:t>
            </w:r>
          </w:p>
          <w:p w:rsidR="00554113" w:rsidRDefault="00377F2E" w:rsidP="00554113">
            <w:pPr>
              <w:pStyle w:val="a5"/>
              <w:numPr>
                <w:ilvl w:val="0"/>
                <w:numId w:val="2"/>
              </w:numPr>
              <w:spacing w:line="240" w:lineRule="auto"/>
              <w:jc w:val="left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>класифікацію ділового мовлення за формами</w:t>
            </w:r>
            <w:r w:rsidR="00554113">
              <w:rPr>
                <w:i w:val="0"/>
                <w:lang w:val="uk-UA"/>
              </w:rPr>
              <w:t>,</w:t>
            </w:r>
          </w:p>
          <w:p w:rsidR="00554113" w:rsidRPr="00373E78" w:rsidRDefault="00377F2E" w:rsidP="00554113">
            <w:pPr>
              <w:pStyle w:val="a5"/>
              <w:numPr>
                <w:ilvl w:val="0"/>
                <w:numId w:val="2"/>
              </w:numPr>
              <w:spacing w:line="240" w:lineRule="auto"/>
              <w:jc w:val="left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>класифікацію ділового мовлення за жанрами</w:t>
            </w:r>
            <w:r w:rsidR="00554113">
              <w:rPr>
                <w:i w:val="0"/>
                <w:lang w:val="uk-UA"/>
              </w:rPr>
              <w:t>,</w:t>
            </w:r>
          </w:p>
          <w:p w:rsidR="00554113" w:rsidRPr="00C9559A" w:rsidRDefault="00554113" w:rsidP="0055411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59A">
              <w:rPr>
                <w:rFonts w:ascii="Times New Roman" w:hAnsi="Times New Roman" w:cs="Times New Roman"/>
              </w:rPr>
              <w:t xml:space="preserve">головні </w:t>
            </w:r>
            <w:r w:rsidR="00377F2E">
              <w:rPr>
                <w:rFonts w:ascii="Times New Roman" w:hAnsi="Times New Roman" w:cs="Times New Roman"/>
              </w:rPr>
              <w:t xml:space="preserve">види інформації ділових </w:t>
            </w:r>
            <w:r w:rsidRPr="00C9559A">
              <w:rPr>
                <w:rFonts w:ascii="Times New Roman" w:hAnsi="Times New Roman" w:cs="Times New Roman"/>
              </w:rPr>
              <w:t xml:space="preserve">текстів </w:t>
            </w:r>
            <w:r w:rsidR="00377F2E">
              <w:rPr>
                <w:rFonts w:ascii="Times New Roman" w:hAnsi="Times New Roman" w:cs="Times New Roman"/>
              </w:rPr>
              <w:t>для перекладу</w:t>
            </w:r>
            <w:r w:rsidRPr="00C9559A">
              <w:rPr>
                <w:rFonts w:ascii="Times New Roman" w:hAnsi="Times New Roman" w:cs="Times New Roman"/>
              </w:rPr>
              <w:t>,</w:t>
            </w:r>
          </w:p>
          <w:p w:rsidR="00554113" w:rsidRPr="00C9559A" w:rsidRDefault="00554113" w:rsidP="0055411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59A">
              <w:rPr>
                <w:rFonts w:ascii="Times New Roman" w:hAnsi="Times New Roman" w:cs="Times New Roman"/>
              </w:rPr>
              <w:t xml:space="preserve">методологію </w:t>
            </w:r>
            <w:r w:rsidR="00BF375F">
              <w:rPr>
                <w:rFonts w:ascii="Times New Roman" w:hAnsi="Times New Roman" w:cs="Times New Roman"/>
              </w:rPr>
              <w:t>аналізу текстів ділової комунікації для перекладу</w:t>
            </w:r>
            <w:r w:rsidRPr="00C9559A">
              <w:rPr>
                <w:rFonts w:ascii="Times New Roman" w:hAnsi="Times New Roman" w:cs="Times New Roman"/>
              </w:rPr>
              <w:t>.</w:t>
            </w:r>
          </w:p>
          <w:p w:rsidR="00554113" w:rsidRPr="00BF254B" w:rsidRDefault="00554113" w:rsidP="0049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Вміти:</w:t>
            </w:r>
          </w:p>
          <w:p w:rsidR="00554113" w:rsidRPr="00C9559A" w:rsidRDefault="00554113" w:rsidP="00554113">
            <w:pPr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59A">
              <w:rPr>
                <w:rFonts w:ascii="Times New Roman" w:hAnsi="Times New Roman" w:cs="Times New Roman"/>
              </w:rPr>
              <w:t xml:space="preserve">аналізувати тексти із погляду процесу </w:t>
            </w:r>
            <w:r w:rsidR="00BF375F">
              <w:rPr>
                <w:rFonts w:ascii="Times New Roman" w:hAnsi="Times New Roman" w:cs="Times New Roman"/>
              </w:rPr>
              <w:t>вимог ділової комун</w:t>
            </w:r>
            <w:r w:rsidR="00207158">
              <w:rPr>
                <w:rFonts w:ascii="Times New Roman" w:hAnsi="Times New Roman" w:cs="Times New Roman"/>
              </w:rPr>
              <w:t>і</w:t>
            </w:r>
            <w:r w:rsidR="00BF375F">
              <w:rPr>
                <w:rFonts w:ascii="Times New Roman" w:hAnsi="Times New Roman" w:cs="Times New Roman"/>
              </w:rPr>
              <w:t>кації</w:t>
            </w:r>
            <w:r w:rsidRPr="00C9559A">
              <w:rPr>
                <w:rFonts w:ascii="Times New Roman" w:hAnsi="Times New Roman" w:cs="Times New Roman"/>
              </w:rPr>
              <w:t>;</w:t>
            </w:r>
          </w:p>
          <w:p w:rsidR="00554113" w:rsidRPr="00D66C43" w:rsidRDefault="00554113" w:rsidP="00554113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  <w:r w:rsidRPr="00C9559A">
              <w:rPr>
                <w:sz w:val="24"/>
                <w:szCs w:val="24"/>
              </w:rPr>
              <w:t xml:space="preserve">класифікувати тексти </w:t>
            </w:r>
            <w:r w:rsidR="00BF375F">
              <w:rPr>
                <w:sz w:val="24"/>
                <w:szCs w:val="24"/>
              </w:rPr>
              <w:t>та підходи до перекладу в межах ділового</w:t>
            </w:r>
            <w:r w:rsidRPr="00C9559A">
              <w:rPr>
                <w:sz w:val="24"/>
                <w:szCs w:val="24"/>
              </w:rPr>
              <w:t xml:space="preserve"> </w:t>
            </w:r>
            <w:r w:rsidR="00BF375F">
              <w:rPr>
                <w:sz w:val="24"/>
                <w:szCs w:val="24"/>
              </w:rPr>
              <w:t xml:space="preserve">спілкування </w:t>
            </w:r>
            <w:r w:rsidRPr="00C9559A">
              <w:rPr>
                <w:sz w:val="24"/>
                <w:szCs w:val="24"/>
              </w:rPr>
              <w:t>(переклад</w:t>
            </w:r>
            <w:r>
              <w:rPr>
                <w:sz w:val="24"/>
                <w:szCs w:val="24"/>
              </w:rPr>
              <w:t>, локалізація, транскреація, реферування та ін.)</w:t>
            </w:r>
            <w:r w:rsidRPr="00D66C43">
              <w:rPr>
                <w:sz w:val="24"/>
                <w:szCs w:val="24"/>
              </w:rPr>
              <w:t>;</w:t>
            </w:r>
          </w:p>
          <w:p w:rsidR="00BF254B" w:rsidRPr="00BF375F" w:rsidRDefault="00554113" w:rsidP="00BF375F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ind w:right="-900"/>
              <w:jc w:val="both"/>
              <w:rPr>
                <w:sz w:val="24"/>
                <w:szCs w:val="24"/>
              </w:rPr>
            </w:pPr>
            <w:r w:rsidRPr="00D66C43">
              <w:rPr>
                <w:sz w:val="24"/>
                <w:szCs w:val="24"/>
              </w:rPr>
              <w:t xml:space="preserve">визначати </w:t>
            </w:r>
            <w:r>
              <w:rPr>
                <w:sz w:val="24"/>
                <w:szCs w:val="24"/>
              </w:rPr>
              <w:t>елементи документа базові для</w:t>
            </w:r>
            <w:r w:rsidR="00BF375F">
              <w:rPr>
                <w:sz w:val="24"/>
                <w:szCs w:val="24"/>
              </w:rPr>
              <w:t xml:space="preserve"> перекладу</w:t>
            </w:r>
            <w:r w:rsidRPr="00BF375F">
              <w:rPr>
                <w:sz w:val="24"/>
                <w:szCs w:val="24"/>
              </w:rPr>
              <w:t>.</w:t>
            </w:r>
          </w:p>
        </w:tc>
      </w:tr>
      <w:tr w:rsidR="00554113" w:rsidRPr="00BF254B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13" w:rsidRPr="00BF254B" w:rsidRDefault="00554113" w:rsidP="004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13" w:rsidRPr="00BF254B" w:rsidRDefault="00207158" w:rsidP="0049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Ділова комунікація, в</w:t>
            </w:r>
            <w:r w:rsidR="005541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54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ділової комунікації, форми ділової комунікації, види </w:t>
            </w:r>
            <w:r w:rsidR="0055411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перекладу, принципи перекладу, агенція лінгвістичних послуг, адаптація</w:t>
            </w:r>
            <w:r w:rsidR="00554113"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113" w:rsidRPr="00BF254B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13" w:rsidRPr="00BF254B" w:rsidRDefault="00554113" w:rsidP="004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13" w:rsidRPr="00BF254B" w:rsidRDefault="00554113" w:rsidP="0049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554113" w:rsidRPr="00BF254B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13" w:rsidRPr="00BF254B" w:rsidRDefault="00554113" w:rsidP="004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13" w:rsidRPr="00BF254B" w:rsidRDefault="00554113" w:rsidP="0049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лекцій та семінарських занять.</w:t>
            </w:r>
          </w:p>
        </w:tc>
      </w:tr>
      <w:tr w:rsidR="00554113" w:rsidRPr="00BF254B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4113" w:rsidRPr="00BF254B" w:rsidRDefault="00554113" w:rsidP="004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13" w:rsidRDefault="00554113" w:rsidP="004925DF">
            <w:pPr>
              <w:pStyle w:val="5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BF54EF">
              <w:rPr>
                <w:rFonts w:ascii="Times New Roman" w:hAnsi="Times New Roman"/>
                <w:i w:val="0"/>
                <w:sz w:val="24"/>
                <w:szCs w:val="24"/>
              </w:rPr>
              <w:t>ЗМІСТОВИЙ МОДУЛЬ 1.</w:t>
            </w:r>
          </w:p>
          <w:p w:rsidR="00554113" w:rsidRPr="005F0239" w:rsidRDefault="00A22053" w:rsidP="0055411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Communication as viewed from the viewpoint of the theory of communicative acts</w:t>
            </w:r>
            <w:r w:rsidR="0055411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63EFA" w:rsidRDefault="00163EFA" w:rsidP="00554113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Forms of business communication and types of translation as based on them.</w:t>
            </w:r>
          </w:p>
          <w:p w:rsidR="00554113" w:rsidRDefault="00A22053" w:rsidP="00554113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Types of business communication and their translation</w:t>
            </w:r>
            <w:r w:rsidR="00554113" w:rsidRPr="005F023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5541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54113" w:rsidRDefault="00554113" w:rsidP="004925DF">
            <w:pPr>
              <w:pStyle w:val="a3"/>
              <w:spacing w:after="0"/>
              <w:jc w:val="both"/>
              <w:rPr>
                <w:b/>
                <w:bCs/>
                <w:sz w:val="24"/>
                <w:lang w:val="uk-UA"/>
              </w:rPr>
            </w:pPr>
          </w:p>
          <w:p w:rsidR="00554113" w:rsidRDefault="00554113" w:rsidP="004925DF">
            <w:pPr>
              <w:pStyle w:val="a3"/>
              <w:spacing w:after="0"/>
              <w:jc w:val="both"/>
              <w:rPr>
                <w:b/>
                <w:bCs/>
                <w:sz w:val="24"/>
                <w:lang w:val="uk-UA"/>
              </w:rPr>
            </w:pPr>
            <w:r w:rsidRPr="00BF54EF">
              <w:rPr>
                <w:b/>
                <w:bCs/>
                <w:sz w:val="24"/>
                <w:lang w:val="uk-UA"/>
              </w:rPr>
              <w:t xml:space="preserve">ЗМІСТОВИЙ МОДУЛЬ 2. </w:t>
            </w:r>
          </w:p>
          <w:p w:rsidR="00554113" w:rsidRPr="001B2BD8" w:rsidRDefault="00554113" w:rsidP="00554113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1B2B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notion </w:t>
            </w:r>
            <w:r w:rsidR="00163EFA">
              <w:rPr>
                <w:rFonts w:ascii="Times New Roman" w:hAnsi="Times New Roman"/>
                <w:sz w:val="24"/>
                <w:szCs w:val="24"/>
                <w:lang w:val="en-US"/>
              </w:rPr>
              <w:t>of information unit and types of translation</w:t>
            </w:r>
            <w:r w:rsidRPr="001B2BD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F254B" w:rsidRPr="00BF254B" w:rsidRDefault="00163EFA" w:rsidP="004C396C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/>
              </w:rPr>
            </w:pPr>
            <w:r w:rsidRPr="00163EFA">
              <w:rPr>
                <w:rFonts w:ascii="Times New Roman" w:hAnsi="Times New Roman"/>
                <w:sz w:val="24"/>
                <w:szCs w:val="24"/>
                <w:lang w:val="en-US"/>
              </w:rPr>
              <w:t>Business communication tex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 analysis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Main </w:t>
            </w:r>
            <w:r w:rsidR="004C396C">
              <w:rPr>
                <w:rFonts w:ascii="Times New Roman" w:hAnsi="Times New Roman"/>
                <w:sz w:val="24"/>
                <w:szCs w:val="24"/>
                <w:lang w:val="en-US"/>
              </w:rPr>
              <w:t>approaches.</w:t>
            </w:r>
          </w:p>
        </w:tc>
      </w:tr>
      <w:tr w:rsidR="00554113" w:rsidRPr="00BF254B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13" w:rsidRPr="00BF254B" w:rsidRDefault="00554113" w:rsidP="004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13" w:rsidRPr="00BF254B" w:rsidRDefault="00554113" w:rsidP="0049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Залік в кінці семестру; письмовий/тестовий </w:t>
            </w:r>
          </w:p>
        </w:tc>
      </w:tr>
      <w:tr w:rsidR="00554113" w:rsidRPr="00BF254B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13" w:rsidRPr="00BF254B" w:rsidRDefault="00554113" w:rsidP="004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13" w:rsidRPr="00BF254B" w:rsidRDefault="00554113" w:rsidP="0049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вивчення курсу студенти потребують базових знань з теорії</w:t>
            </w:r>
            <w:r w:rsidR="004C396C">
              <w:rPr>
                <w:rFonts w:ascii="Times New Roman" w:eastAsia="Times New Roman" w:hAnsi="Times New Roman" w:cs="Times New Roman"/>
                <w:sz w:val="24"/>
                <w:szCs w:val="24"/>
              </w:rPr>
              <w:t>, стилістики</w:t>
            </w: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практики переклад</w:t>
            </w:r>
            <w:r w:rsidR="004C396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, достатніх для сприйняття категоріального апарату з управління перекладацькими проектами, розуміння джерел.</w:t>
            </w:r>
          </w:p>
        </w:tc>
      </w:tr>
      <w:tr w:rsidR="00554113" w:rsidRPr="00BF254B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13" w:rsidRPr="00BF254B" w:rsidRDefault="00554113" w:rsidP="004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13" w:rsidRPr="00BF254B" w:rsidRDefault="00554113" w:rsidP="0049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Презентація, лекції, колаборативне навчання (форми – групові проекти, спільні розробки) проектно-орієнтоване навчання, дискусія.</w:t>
            </w:r>
          </w:p>
        </w:tc>
      </w:tr>
      <w:tr w:rsidR="00554113" w:rsidRPr="00BF254B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13" w:rsidRPr="00BF254B" w:rsidRDefault="00554113" w:rsidP="004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13" w:rsidRPr="00BF254B" w:rsidRDefault="00554113" w:rsidP="0049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 вживані програми і операційні системи.</w:t>
            </w:r>
          </w:p>
        </w:tc>
      </w:tr>
      <w:tr w:rsidR="00554113" w:rsidRPr="00BF254B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13" w:rsidRPr="00BF254B" w:rsidRDefault="00554113" w:rsidP="004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13" w:rsidRPr="00BF254B" w:rsidRDefault="00554113" w:rsidP="0049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 w:rsidR="00554113" w:rsidRPr="00BF254B" w:rsidRDefault="00554113" w:rsidP="0049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практичні/самостійні тощо: 30% семестрової оцінки; максимальна кількість балів 30;</w:t>
            </w:r>
          </w:p>
          <w:p w:rsidR="00554113" w:rsidRPr="00BF254B" w:rsidRDefault="00554113" w:rsidP="0049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• контрольні заміри (модулі): 20% семестрової оцінки; максимальна кількість балів 20;</w:t>
            </w:r>
          </w:p>
          <w:p w:rsidR="00554113" w:rsidRPr="00BF254B" w:rsidRDefault="00554113" w:rsidP="0049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• іспит/залік: 50% семестрової оцінки. Максимальна кількість балів 50. Підсумкова максимальна кількість балів 100.</w:t>
            </w:r>
          </w:p>
          <w:p w:rsidR="00554113" w:rsidRPr="00BF254B" w:rsidRDefault="00554113" w:rsidP="0049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113" w:rsidRPr="00BF254B" w:rsidRDefault="00554113" w:rsidP="0049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Письмові роботи: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Очікується, що студенти виконають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поточні контрольні роботи,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два тестування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складуть перзентації.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2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 w:rsidRPr="00BF2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Відвідання занять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BF2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Література.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554113" w:rsidRPr="00BF254B" w:rsidRDefault="00554113" w:rsidP="0049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113" w:rsidRPr="00BF254B" w:rsidRDefault="00554113" w:rsidP="004925D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F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554113" w:rsidRPr="00BF254B" w:rsidRDefault="00554113" w:rsidP="004925D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54113" w:rsidRPr="00BF254B" w:rsidRDefault="00554113" w:rsidP="004925D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  <w:p w:rsidR="00554113" w:rsidRPr="00BF254B" w:rsidRDefault="00554113" w:rsidP="0049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113" w:rsidRPr="00BF254B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13" w:rsidRPr="00BF254B" w:rsidRDefault="00554113" w:rsidP="004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6C" w:rsidRPr="005F0239" w:rsidRDefault="004C396C" w:rsidP="004C396C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Communication as viewed from the viewpoint of the theory of communicative acts.</w:t>
            </w:r>
          </w:p>
          <w:p w:rsidR="004C396C" w:rsidRDefault="004C396C" w:rsidP="004C396C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Forms of business communication and types of translation as based on them.</w:t>
            </w:r>
          </w:p>
          <w:p w:rsidR="004C396C" w:rsidRDefault="004C396C" w:rsidP="004C396C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Types of business communication and their translation</w:t>
            </w:r>
            <w:r w:rsidRPr="005F023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C396C" w:rsidRPr="001B2BD8" w:rsidRDefault="004C396C" w:rsidP="004C396C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lang w:val="en-US"/>
              </w:rPr>
            </w:pPr>
            <w:bookmarkStart w:id="0" w:name="_GoBack"/>
            <w:bookmarkEnd w:id="0"/>
            <w:r w:rsidRPr="001B2B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notion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 information unit and types of translation</w:t>
            </w:r>
            <w:r w:rsidRPr="001B2BD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54113" w:rsidRPr="004C396C" w:rsidRDefault="004C396C" w:rsidP="004C396C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96C">
              <w:rPr>
                <w:rFonts w:ascii="Times New Roman" w:hAnsi="Times New Roman"/>
                <w:sz w:val="24"/>
                <w:szCs w:val="24"/>
                <w:lang w:val="en-US"/>
              </w:rPr>
              <w:t>Business communication text analysis</w:t>
            </w:r>
            <w:r w:rsidRPr="004C396C">
              <w:rPr>
                <w:sz w:val="24"/>
                <w:szCs w:val="24"/>
                <w:lang w:val="en-US"/>
              </w:rPr>
              <w:t xml:space="preserve">. </w:t>
            </w:r>
            <w:r w:rsidRPr="004C396C">
              <w:rPr>
                <w:rFonts w:ascii="Times New Roman" w:hAnsi="Times New Roman"/>
                <w:sz w:val="24"/>
                <w:szCs w:val="24"/>
                <w:lang w:val="en-US"/>
              </w:rPr>
              <w:t>Main approaches.</w:t>
            </w:r>
          </w:p>
        </w:tc>
      </w:tr>
      <w:tr w:rsidR="00554113" w:rsidRPr="00BF254B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13" w:rsidRPr="00BF254B" w:rsidRDefault="00554113" w:rsidP="004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13" w:rsidRPr="00BF254B" w:rsidRDefault="00554113" w:rsidP="0049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554113" w:rsidRPr="00BF254B" w:rsidRDefault="00554113" w:rsidP="005541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4113" w:rsidRDefault="00554113" w:rsidP="00554113"/>
    <w:p w:rsidR="00554113" w:rsidRDefault="00554113"/>
    <w:sectPr w:rsidR="005541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03A"/>
    <w:multiLevelType w:val="hybridMultilevel"/>
    <w:tmpl w:val="4B403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542630"/>
    <w:multiLevelType w:val="hybridMultilevel"/>
    <w:tmpl w:val="62A25978"/>
    <w:lvl w:ilvl="0" w:tplc="A8788B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A034DF"/>
    <w:multiLevelType w:val="hybridMultilevel"/>
    <w:tmpl w:val="38F21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1F2B65"/>
    <w:multiLevelType w:val="hybridMultilevel"/>
    <w:tmpl w:val="FAB46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D841EA"/>
    <w:multiLevelType w:val="hybridMultilevel"/>
    <w:tmpl w:val="04405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759BA"/>
    <w:multiLevelType w:val="hybridMultilevel"/>
    <w:tmpl w:val="0A84ED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13"/>
    <w:rsid w:val="00163EFA"/>
    <w:rsid w:val="00207158"/>
    <w:rsid w:val="002529C3"/>
    <w:rsid w:val="00377F2E"/>
    <w:rsid w:val="003F597A"/>
    <w:rsid w:val="004C396C"/>
    <w:rsid w:val="00546928"/>
    <w:rsid w:val="00554113"/>
    <w:rsid w:val="006C0EAB"/>
    <w:rsid w:val="006F1579"/>
    <w:rsid w:val="007D51DF"/>
    <w:rsid w:val="009A6E69"/>
    <w:rsid w:val="00A22053"/>
    <w:rsid w:val="00A751BF"/>
    <w:rsid w:val="00BF375F"/>
    <w:rsid w:val="00C0367F"/>
    <w:rsid w:val="00E1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183D"/>
  <w15:chartTrackingRefBased/>
  <w15:docId w15:val="{F9134325-7258-4568-BA1A-48780175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54113"/>
  </w:style>
  <w:style w:type="paragraph" w:styleId="5">
    <w:name w:val="heading 5"/>
    <w:basedOn w:val="a"/>
    <w:next w:val="a"/>
    <w:link w:val="50"/>
    <w:uiPriority w:val="99"/>
    <w:qFormat/>
    <w:rsid w:val="0055411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55411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55411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rsid w:val="0055411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uiPriority w:val="99"/>
    <w:qFormat/>
    <w:rsid w:val="00554113"/>
    <w:pPr>
      <w:spacing w:after="0" w:line="360" w:lineRule="auto"/>
      <w:ind w:left="284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a6">
    <w:name w:val="Назва Знак"/>
    <w:basedOn w:val="a0"/>
    <w:link w:val="a5"/>
    <w:uiPriority w:val="99"/>
    <w:rsid w:val="00554113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a7">
    <w:name w:val="Block Text"/>
    <w:basedOn w:val="a"/>
    <w:uiPriority w:val="99"/>
    <w:rsid w:val="00554113"/>
    <w:pPr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List Paragraph"/>
    <w:basedOn w:val="a"/>
    <w:uiPriority w:val="99"/>
    <w:qFormat/>
    <w:rsid w:val="0055411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ekladoznavstv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4959</Words>
  <Characters>2827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</dc:creator>
  <cp:keywords/>
  <dc:description/>
  <cp:lastModifiedBy>Ory</cp:lastModifiedBy>
  <cp:revision>5</cp:revision>
  <dcterms:created xsi:type="dcterms:W3CDTF">2019-10-28T05:41:00Z</dcterms:created>
  <dcterms:modified xsi:type="dcterms:W3CDTF">2019-10-28T06:59:00Z</dcterms:modified>
</cp:coreProperties>
</file>