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3" w:rsidRDefault="00A514E3" w:rsidP="00A514E3">
      <w:pPr>
        <w:jc w:val="center"/>
      </w:pPr>
      <w:r>
        <w:rPr>
          <w:sz w:val="28"/>
        </w:rPr>
        <w:t>Міністерство освіти і науки України</w:t>
      </w:r>
    </w:p>
    <w:p w:rsidR="00A514E3" w:rsidRDefault="00A514E3" w:rsidP="00A514E3">
      <w:pPr>
        <w:jc w:val="center"/>
      </w:pPr>
      <w:r>
        <w:rPr>
          <w:sz w:val="28"/>
        </w:rPr>
        <w:t>Львівський національний університет імені Івана Франка</w:t>
      </w:r>
    </w:p>
    <w:p w:rsidR="00A514E3" w:rsidRDefault="00A514E3" w:rsidP="00A514E3">
      <w:pPr>
        <w:jc w:val="center"/>
      </w:pPr>
      <w:r>
        <w:rPr>
          <w:sz w:val="28"/>
        </w:rPr>
        <w:t>Факультет іноземних мов</w:t>
      </w:r>
    </w:p>
    <w:p w:rsidR="00A514E3" w:rsidRDefault="00A514E3" w:rsidP="00A514E3">
      <w:pPr>
        <w:jc w:val="center"/>
      </w:pPr>
      <w:r>
        <w:rPr>
          <w:sz w:val="28"/>
        </w:rPr>
        <w:t>Кафедра англійської філології</w:t>
      </w:r>
    </w:p>
    <w:p w:rsidR="00A514E3" w:rsidRDefault="00A514E3" w:rsidP="00A514E3">
      <w:pPr>
        <w:rPr>
          <w:sz w:val="28"/>
        </w:rPr>
      </w:pPr>
    </w:p>
    <w:p w:rsidR="00A514E3" w:rsidRDefault="00A514E3" w:rsidP="003827C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</w:t>
      </w:r>
      <w:r w:rsidR="003827CF">
        <w:rPr>
          <w:noProof/>
          <w:sz w:val="28"/>
          <w:lang w:eastAsia="uk-UA"/>
        </w:rPr>
        <w:drawing>
          <wp:inline distT="0" distB="0" distL="0" distR="0">
            <wp:extent cx="3076575" cy="243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15" w:rsidRDefault="00A65A9B" w:rsidP="00401915">
      <w:pPr>
        <w:pStyle w:val="1"/>
        <w:rPr>
          <w:szCs w:val="28"/>
        </w:rPr>
      </w:pPr>
      <w:r w:rsidRPr="00A514E3">
        <w:rPr>
          <w:b/>
          <w:caps/>
          <w:szCs w:val="28"/>
        </w:rPr>
        <w:t>Програма</w:t>
      </w:r>
      <w:r w:rsidR="00A514E3">
        <w:rPr>
          <w:szCs w:val="28"/>
        </w:rPr>
        <w:t xml:space="preserve">  </w:t>
      </w:r>
      <w:r w:rsidR="00401915" w:rsidRPr="00401915">
        <w:rPr>
          <w:b/>
          <w:szCs w:val="28"/>
        </w:rPr>
        <w:t>НАВЧАЛЬНОЇ ДИСЦИПЛІНИ</w:t>
      </w:r>
    </w:p>
    <w:p w:rsidR="00A65A9B" w:rsidRPr="00A514E3" w:rsidRDefault="00A65A9B" w:rsidP="00401915">
      <w:pPr>
        <w:pStyle w:val="1"/>
        <w:rPr>
          <w:szCs w:val="28"/>
        </w:rPr>
      </w:pPr>
      <w:r w:rsidRPr="00A514E3">
        <w:rPr>
          <w:szCs w:val="28"/>
        </w:rPr>
        <w:t>вільного вибору</w:t>
      </w:r>
      <w:r w:rsidR="00A514E3" w:rsidRPr="00A514E3">
        <w:rPr>
          <w:szCs w:val="28"/>
        </w:rPr>
        <w:t xml:space="preserve"> </w:t>
      </w:r>
      <w:r w:rsidRPr="00A514E3">
        <w:rPr>
          <w:szCs w:val="28"/>
        </w:rPr>
        <w:t>магістра</w:t>
      </w:r>
    </w:p>
    <w:p w:rsidR="00A514E3" w:rsidRPr="00A514E3" w:rsidRDefault="00A514E3" w:rsidP="00A514E3">
      <w:pPr>
        <w:jc w:val="center"/>
        <w:rPr>
          <w:b/>
          <w:sz w:val="28"/>
          <w:szCs w:val="28"/>
          <w:lang w:val="ru-RU"/>
        </w:rPr>
      </w:pPr>
      <w:r w:rsidRPr="00A514E3">
        <w:rPr>
          <w:b/>
          <w:sz w:val="28"/>
          <w:szCs w:val="28"/>
        </w:rPr>
        <w:t>«Міжкультурна комунікація»</w:t>
      </w:r>
    </w:p>
    <w:p w:rsidR="00A65A9B" w:rsidRPr="00A514E3" w:rsidRDefault="00A65A9B" w:rsidP="00A514E3">
      <w:pPr>
        <w:ind w:left="1701" w:hanging="567"/>
        <w:rPr>
          <w:i/>
          <w:sz w:val="28"/>
          <w:szCs w:val="28"/>
        </w:rPr>
      </w:pPr>
    </w:p>
    <w:p w:rsidR="00401915" w:rsidRPr="00045E9E" w:rsidRDefault="00401915" w:rsidP="00401915">
      <w:pPr>
        <w:jc w:val="center"/>
        <w:rPr>
          <w:b/>
        </w:rPr>
      </w:pPr>
    </w:p>
    <w:p w:rsidR="00401915" w:rsidRPr="00401915" w:rsidRDefault="00401915" w:rsidP="00401915">
      <w:pPr>
        <w:spacing w:line="360" w:lineRule="auto"/>
        <w:ind w:left="1418" w:firstLine="142"/>
        <w:rPr>
          <w:sz w:val="28"/>
          <w:szCs w:val="28"/>
        </w:rPr>
      </w:pPr>
      <w:r w:rsidRPr="00401915">
        <w:rPr>
          <w:sz w:val="28"/>
          <w:szCs w:val="28"/>
        </w:rPr>
        <w:t>галузі  знань          0203 Гуманітарні науки</w:t>
      </w:r>
    </w:p>
    <w:p w:rsidR="00401915" w:rsidRPr="00401915" w:rsidRDefault="00401915" w:rsidP="00401915">
      <w:pPr>
        <w:spacing w:line="360" w:lineRule="auto"/>
        <w:ind w:left="1418" w:firstLine="142"/>
        <w:rPr>
          <w:rStyle w:val="yiv7754858727xfm71311498"/>
          <w:sz w:val="28"/>
          <w:szCs w:val="28"/>
        </w:rPr>
      </w:pPr>
      <w:r w:rsidRPr="00401915">
        <w:rPr>
          <w:rStyle w:val="yiv7754858727xfm71311498"/>
          <w:sz w:val="28"/>
          <w:szCs w:val="28"/>
        </w:rPr>
        <w:t>Спеціальність 035 Філологія</w:t>
      </w:r>
    </w:p>
    <w:p w:rsidR="00401915" w:rsidRPr="00401915" w:rsidRDefault="00401915" w:rsidP="00401915">
      <w:pPr>
        <w:spacing w:line="360" w:lineRule="auto"/>
        <w:ind w:left="1418" w:firstLine="142"/>
        <w:rPr>
          <w:rStyle w:val="yiv7754858727xfm71311498"/>
          <w:sz w:val="28"/>
          <w:szCs w:val="28"/>
        </w:rPr>
      </w:pPr>
      <w:r w:rsidRPr="00401915">
        <w:rPr>
          <w:rStyle w:val="yiv7754858727xfm71311498"/>
          <w:sz w:val="28"/>
          <w:szCs w:val="28"/>
        </w:rPr>
        <w:t xml:space="preserve">Спеціалізація 035.041 Германські мови та літератури (переклад включно) </w:t>
      </w:r>
    </w:p>
    <w:p w:rsidR="00401915" w:rsidRPr="00401915" w:rsidRDefault="00401915" w:rsidP="00401915">
      <w:pPr>
        <w:spacing w:line="360" w:lineRule="auto"/>
        <w:ind w:left="1418" w:firstLine="142"/>
        <w:rPr>
          <w:sz w:val="28"/>
          <w:szCs w:val="28"/>
        </w:rPr>
      </w:pPr>
      <w:r w:rsidRPr="00401915">
        <w:rPr>
          <w:rStyle w:val="yiv7754858727xfm71311498"/>
          <w:sz w:val="28"/>
          <w:szCs w:val="28"/>
        </w:rPr>
        <w:t>- перша англійська</w:t>
      </w:r>
    </w:p>
    <w:p w:rsidR="00401915" w:rsidRPr="00401915" w:rsidRDefault="00401915" w:rsidP="00401915">
      <w:pPr>
        <w:spacing w:line="360" w:lineRule="auto"/>
        <w:ind w:left="1418" w:firstLine="142"/>
        <w:rPr>
          <w:sz w:val="28"/>
          <w:szCs w:val="28"/>
        </w:rPr>
      </w:pPr>
      <w:r w:rsidRPr="00401915">
        <w:rPr>
          <w:rStyle w:val="yiv7754858727xfm71311498"/>
          <w:sz w:val="28"/>
          <w:szCs w:val="28"/>
        </w:rPr>
        <w:t>ОПП магістр "Англійська та друга іноземні мови і літератури"</w:t>
      </w:r>
    </w:p>
    <w:p w:rsidR="00401915" w:rsidRPr="00401915" w:rsidRDefault="00401915" w:rsidP="00401915">
      <w:pPr>
        <w:spacing w:line="360" w:lineRule="auto"/>
        <w:ind w:left="1418" w:firstLine="142"/>
        <w:rPr>
          <w:sz w:val="28"/>
          <w:szCs w:val="28"/>
        </w:rPr>
      </w:pPr>
      <w:r w:rsidRPr="00401915">
        <w:rPr>
          <w:sz w:val="28"/>
          <w:szCs w:val="28"/>
        </w:rPr>
        <w:t>факультету  іноземних мов</w:t>
      </w:r>
    </w:p>
    <w:p w:rsidR="00A65A9B" w:rsidRPr="00A514E3" w:rsidRDefault="00A65A9B" w:rsidP="00A514E3">
      <w:pPr>
        <w:ind w:left="1701" w:hanging="567"/>
        <w:rPr>
          <w:sz w:val="28"/>
          <w:szCs w:val="28"/>
        </w:rPr>
      </w:pP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54"/>
        <w:gridCol w:w="425"/>
        <w:gridCol w:w="425"/>
        <w:gridCol w:w="997"/>
        <w:gridCol w:w="851"/>
        <w:gridCol w:w="708"/>
        <w:gridCol w:w="709"/>
        <w:gridCol w:w="709"/>
        <w:gridCol w:w="709"/>
        <w:gridCol w:w="708"/>
        <w:gridCol w:w="709"/>
        <w:gridCol w:w="704"/>
        <w:gridCol w:w="430"/>
        <w:gridCol w:w="709"/>
      </w:tblGrid>
      <w:tr w:rsidR="008140CF" w:rsidRPr="00045E9E" w:rsidTr="00B45745">
        <w:trPr>
          <w:cantSplit/>
          <w:trHeight w:val="521"/>
        </w:trPr>
        <w:tc>
          <w:tcPr>
            <w:tcW w:w="1031" w:type="dxa"/>
            <w:vMerge w:val="restart"/>
          </w:tcPr>
          <w:p w:rsidR="008140CF" w:rsidRPr="00045E9E" w:rsidRDefault="008140CF" w:rsidP="00B45745">
            <w:pPr>
              <w:jc w:val="right"/>
            </w:pPr>
            <w:r w:rsidRPr="00045E9E">
              <w:t xml:space="preserve">           </w:t>
            </w:r>
          </w:p>
          <w:p w:rsidR="008140CF" w:rsidRPr="00045E9E" w:rsidRDefault="008140CF" w:rsidP="00B45745"/>
          <w:p w:rsidR="008140CF" w:rsidRPr="00045E9E" w:rsidRDefault="008140CF" w:rsidP="00B45745"/>
          <w:p w:rsidR="008140CF" w:rsidRPr="00045E9E" w:rsidRDefault="008140CF" w:rsidP="00B45745"/>
          <w:p w:rsidR="008140CF" w:rsidRPr="00045E9E" w:rsidRDefault="008140CF" w:rsidP="00B45745">
            <w:pPr>
              <w:ind w:hanging="288"/>
              <w:jc w:val="center"/>
            </w:pPr>
            <w:r w:rsidRPr="00045E9E">
              <w:t>Форма</w:t>
            </w:r>
          </w:p>
          <w:p w:rsidR="008140CF" w:rsidRPr="00045E9E" w:rsidRDefault="008140CF" w:rsidP="00B45745">
            <w:pPr>
              <w:jc w:val="center"/>
            </w:pPr>
            <w:r w:rsidRPr="00045E9E">
              <w:t>навчання</w:t>
            </w:r>
          </w:p>
        </w:tc>
        <w:tc>
          <w:tcPr>
            <w:tcW w:w="454" w:type="dxa"/>
            <w:vMerge w:val="restart"/>
            <w:textDirection w:val="btLr"/>
          </w:tcPr>
          <w:p w:rsidR="008140CF" w:rsidRPr="00045E9E" w:rsidRDefault="008140CF" w:rsidP="00B45745">
            <w:r w:rsidRPr="00045E9E">
              <w:t xml:space="preserve">      </w:t>
            </w:r>
            <w:r w:rsidRPr="00045E9E">
              <w:rPr>
                <w:lang w:val="en-US"/>
              </w:rPr>
              <w:t xml:space="preserve">          </w:t>
            </w:r>
            <w:r w:rsidRPr="00045E9E">
              <w:t xml:space="preserve">    Курс </w:t>
            </w:r>
          </w:p>
        </w:tc>
        <w:tc>
          <w:tcPr>
            <w:tcW w:w="425" w:type="dxa"/>
            <w:vMerge w:val="restart"/>
            <w:textDirection w:val="btLr"/>
          </w:tcPr>
          <w:p w:rsidR="008140CF" w:rsidRPr="00045E9E" w:rsidRDefault="008140CF" w:rsidP="00B45745">
            <w:r w:rsidRPr="00045E9E">
              <w:t xml:space="preserve">   </w:t>
            </w:r>
            <w:r w:rsidRPr="00045E9E">
              <w:rPr>
                <w:lang w:val="en-US"/>
              </w:rPr>
              <w:t xml:space="preserve">              </w:t>
            </w:r>
            <w:r w:rsidRPr="00045E9E">
              <w:t xml:space="preserve">   Семестр</w:t>
            </w:r>
          </w:p>
        </w:tc>
        <w:tc>
          <w:tcPr>
            <w:tcW w:w="425" w:type="dxa"/>
            <w:vMerge w:val="restart"/>
            <w:textDirection w:val="btLr"/>
          </w:tcPr>
          <w:p w:rsidR="008140CF" w:rsidRPr="00045E9E" w:rsidRDefault="008140CF" w:rsidP="00B45745">
            <w:pPr>
              <w:ind w:left="113" w:right="113"/>
              <w:jc w:val="center"/>
              <w:rPr>
                <w:lang w:val="en-US"/>
              </w:rPr>
            </w:pPr>
            <w:r w:rsidRPr="00045E9E">
              <w:t xml:space="preserve">Кредитів </w:t>
            </w:r>
            <w:r w:rsidRPr="00045E9E">
              <w:rPr>
                <w:lang w:val="en-US"/>
              </w:rPr>
              <w:t>ECTS</w:t>
            </w:r>
          </w:p>
        </w:tc>
        <w:tc>
          <w:tcPr>
            <w:tcW w:w="997" w:type="dxa"/>
            <w:vMerge w:val="restart"/>
          </w:tcPr>
          <w:p w:rsidR="008140CF" w:rsidRPr="00045E9E" w:rsidRDefault="008140CF" w:rsidP="00B45745"/>
          <w:p w:rsidR="008140CF" w:rsidRPr="00045E9E" w:rsidRDefault="008140CF" w:rsidP="00B45745">
            <w:pPr>
              <w:ind w:right="-108"/>
            </w:pPr>
          </w:p>
          <w:p w:rsidR="008140CF" w:rsidRPr="00045E9E" w:rsidRDefault="008140CF" w:rsidP="00B45745">
            <w:pPr>
              <w:ind w:right="-108"/>
            </w:pPr>
          </w:p>
          <w:p w:rsidR="008140CF" w:rsidRPr="008140CF" w:rsidRDefault="008140CF" w:rsidP="00B45745">
            <w:pPr>
              <w:ind w:right="-108"/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>Загальний  обсяг</w:t>
            </w:r>
          </w:p>
          <w:p w:rsidR="008140CF" w:rsidRPr="00045E9E" w:rsidRDefault="008140CF" w:rsidP="00B45745">
            <w:r w:rsidRPr="00045E9E">
              <w:t xml:space="preserve">    (год.)</w:t>
            </w:r>
          </w:p>
        </w:tc>
        <w:tc>
          <w:tcPr>
            <w:tcW w:w="851" w:type="dxa"/>
            <w:vMerge w:val="restart"/>
          </w:tcPr>
          <w:p w:rsidR="008140CF" w:rsidRPr="008140CF" w:rsidRDefault="008140CF" w:rsidP="00B45745">
            <w:pPr>
              <w:pStyle w:val="a3"/>
              <w:rPr>
                <w:sz w:val="20"/>
                <w:szCs w:val="20"/>
              </w:rPr>
            </w:pPr>
          </w:p>
          <w:p w:rsidR="008140CF" w:rsidRPr="008140CF" w:rsidRDefault="008140CF" w:rsidP="00B45745">
            <w:pPr>
              <w:pStyle w:val="a3"/>
              <w:rPr>
                <w:sz w:val="20"/>
                <w:szCs w:val="20"/>
              </w:rPr>
            </w:pPr>
          </w:p>
          <w:p w:rsidR="008140CF" w:rsidRPr="008140CF" w:rsidRDefault="008140CF" w:rsidP="00B45745">
            <w:pPr>
              <w:pStyle w:val="a3"/>
              <w:rPr>
                <w:sz w:val="20"/>
                <w:szCs w:val="20"/>
              </w:rPr>
            </w:pPr>
          </w:p>
          <w:p w:rsidR="008140CF" w:rsidRPr="008140CF" w:rsidRDefault="008140CF" w:rsidP="00B45745">
            <w:pPr>
              <w:pStyle w:val="a3"/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>Всього</w:t>
            </w:r>
          </w:p>
          <w:p w:rsidR="008140CF" w:rsidRPr="008140CF" w:rsidRDefault="008140CF" w:rsidP="00B45745">
            <w:pPr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>аудит.</w:t>
            </w:r>
          </w:p>
          <w:p w:rsidR="008140CF" w:rsidRPr="008140CF" w:rsidRDefault="008140CF" w:rsidP="00B45745">
            <w:pPr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3"/>
          </w:tcPr>
          <w:p w:rsidR="008140CF" w:rsidRPr="00045E9E" w:rsidRDefault="008140CF" w:rsidP="00B45745">
            <w:pPr>
              <w:jc w:val="center"/>
            </w:pPr>
          </w:p>
          <w:p w:rsidR="008140CF" w:rsidRPr="00045E9E" w:rsidRDefault="008140CF" w:rsidP="00B45745">
            <w:pPr>
              <w:jc w:val="center"/>
            </w:pPr>
            <w:r w:rsidRPr="00045E9E">
              <w:t>у тому числі (год.):</w:t>
            </w:r>
          </w:p>
        </w:tc>
        <w:tc>
          <w:tcPr>
            <w:tcW w:w="709" w:type="dxa"/>
            <w:vMerge w:val="restart"/>
            <w:textDirection w:val="btLr"/>
          </w:tcPr>
          <w:p w:rsidR="008140CF" w:rsidRPr="00045E9E" w:rsidRDefault="008140CF" w:rsidP="00B45745">
            <w:pPr>
              <w:spacing w:line="360" w:lineRule="auto"/>
              <w:ind w:left="113" w:right="113"/>
            </w:pPr>
            <w:r>
              <w:t>Самос</w:t>
            </w:r>
            <w:r w:rsidRPr="00045E9E">
              <w:t>тійна</w:t>
            </w:r>
            <w:r>
              <w:t xml:space="preserve"> </w:t>
            </w:r>
            <w:r w:rsidRPr="00045E9E">
              <w:t>робота</w:t>
            </w:r>
            <w:r>
              <w:t xml:space="preserve"> </w:t>
            </w:r>
            <w:r w:rsidRPr="00045E9E">
              <w:t>год.)</w:t>
            </w:r>
          </w:p>
        </w:tc>
        <w:tc>
          <w:tcPr>
            <w:tcW w:w="708" w:type="dxa"/>
            <w:vMerge w:val="restart"/>
            <w:textDirection w:val="btLr"/>
          </w:tcPr>
          <w:p w:rsidR="008140CF" w:rsidRPr="00045E9E" w:rsidRDefault="008140CF" w:rsidP="00B45745">
            <w:pPr>
              <w:pStyle w:val="ab"/>
              <w:rPr>
                <w:sz w:val="24"/>
                <w:szCs w:val="24"/>
              </w:rPr>
            </w:pPr>
            <w:r w:rsidRPr="00045E9E">
              <w:rPr>
                <w:sz w:val="24"/>
                <w:szCs w:val="24"/>
              </w:rPr>
              <w:t>Контрольні  (модульні) роботи</w:t>
            </w:r>
          </w:p>
          <w:p w:rsidR="008140CF" w:rsidRPr="00045E9E" w:rsidRDefault="008140CF" w:rsidP="00B45745">
            <w:pPr>
              <w:ind w:left="-108" w:right="-108"/>
              <w:jc w:val="center"/>
            </w:pPr>
            <w:r w:rsidRPr="00045E9E"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8140CF" w:rsidRPr="00045E9E" w:rsidRDefault="008140CF" w:rsidP="00B45745">
            <w:pPr>
              <w:ind w:left="113" w:right="113"/>
            </w:pPr>
            <w:r w:rsidRPr="00045E9E">
              <w:t>Розрахунково-графічні роботи</w:t>
            </w:r>
          </w:p>
          <w:p w:rsidR="008140CF" w:rsidRPr="00045E9E" w:rsidRDefault="008140CF" w:rsidP="00B45745">
            <w:pPr>
              <w:ind w:left="113" w:right="113"/>
              <w:jc w:val="center"/>
            </w:pPr>
            <w:r w:rsidRPr="00045E9E">
              <w:t>(</w:t>
            </w:r>
            <w:proofErr w:type="spellStart"/>
            <w:r w:rsidRPr="00045E9E">
              <w:t>шт</w:t>
            </w:r>
            <w:proofErr w:type="spellEnd"/>
            <w:r w:rsidRPr="00045E9E">
              <w:t>)</w:t>
            </w:r>
          </w:p>
        </w:tc>
        <w:tc>
          <w:tcPr>
            <w:tcW w:w="704" w:type="dxa"/>
            <w:vMerge w:val="restart"/>
            <w:textDirection w:val="btLr"/>
          </w:tcPr>
          <w:p w:rsidR="008140CF" w:rsidRPr="00045E9E" w:rsidRDefault="008140CF" w:rsidP="00B45745">
            <w:pPr>
              <w:pStyle w:val="31"/>
              <w:rPr>
                <w:sz w:val="24"/>
                <w:szCs w:val="24"/>
              </w:rPr>
            </w:pPr>
            <w:proofErr w:type="spellStart"/>
            <w:r w:rsidRPr="00045E9E">
              <w:rPr>
                <w:sz w:val="24"/>
                <w:szCs w:val="24"/>
              </w:rPr>
              <w:t>Курсові</w:t>
            </w:r>
            <w:proofErr w:type="spellEnd"/>
            <w:r w:rsidRPr="00045E9E">
              <w:rPr>
                <w:sz w:val="24"/>
                <w:szCs w:val="24"/>
              </w:rPr>
              <w:t xml:space="preserve">  </w:t>
            </w:r>
            <w:proofErr w:type="spellStart"/>
            <w:r w:rsidRPr="00045E9E">
              <w:rPr>
                <w:sz w:val="24"/>
                <w:szCs w:val="24"/>
              </w:rPr>
              <w:t>проекти</w:t>
            </w:r>
            <w:proofErr w:type="spellEnd"/>
            <w:r w:rsidRPr="00045E9E">
              <w:rPr>
                <w:sz w:val="24"/>
                <w:szCs w:val="24"/>
              </w:rPr>
              <w:t xml:space="preserve"> (</w:t>
            </w:r>
            <w:proofErr w:type="spellStart"/>
            <w:r w:rsidRPr="00045E9E">
              <w:rPr>
                <w:sz w:val="24"/>
                <w:szCs w:val="24"/>
              </w:rPr>
              <w:t>роботи</w:t>
            </w:r>
            <w:proofErr w:type="spellEnd"/>
            <w:r w:rsidRPr="00045E9E">
              <w:rPr>
                <w:sz w:val="24"/>
                <w:szCs w:val="24"/>
              </w:rPr>
              <w:t>),  (шт.)</w:t>
            </w:r>
          </w:p>
          <w:p w:rsidR="008140CF" w:rsidRPr="00045E9E" w:rsidRDefault="008140CF" w:rsidP="00B45745">
            <w:pPr>
              <w:ind w:left="113" w:right="113"/>
            </w:pPr>
          </w:p>
        </w:tc>
        <w:tc>
          <w:tcPr>
            <w:tcW w:w="430" w:type="dxa"/>
            <w:vMerge w:val="restart"/>
            <w:textDirection w:val="btLr"/>
          </w:tcPr>
          <w:p w:rsidR="008140CF" w:rsidRPr="00045E9E" w:rsidRDefault="008140CF" w:rsidP="00B45745">
            <w:pPr>
              <w:pStyle w:val="a3"/>
              <w:ind w:left="113" w:right="-108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045E9E">
              <w:rPr>
                <w:sz w:val="24"/>
              </w:rPr>
              <w:t>Залік</w:t>
            </w:r>
          </w:p>
          <w:p w:rsidR="008140CF" w:rsidRPr="00045E9E" w:rsidRDefault="008140CF" w:rsidP="00B45745">
            <w:pPr>
              <w:ind w:left="113" w:right="-108"/>
            </w:pPr>
            <w:r w:rsidRPr="00045E9E">
              <w:t>(сем.)</w:t>
            </w:r>
          </w:p>
        </w:tc>
        <w:tc>
          <w:tcPr>
            <w:tcW w:w="709" w:type="dxa"/>
            <w:vMerge w:val="restart"/>
            <w:textDirection w:val="btLr"/>
          </w:tcPr>
          <w:p w:rsidR="008140CF" w:rsidRPr="00045E9E" w:rsidRDefault="008140CF" w:rsidP="00B45745">
            <w:pPr>
              <w:ind w:left="5" w:right="-108" w:firstLine="108"/>
              <w:jc w:val="center"/>
            </w:pPr>
            <w:r w:rsidRPr="00045E9E">
              <w:t>Екзамен</w:t>
            </w:r>
            <w:r>
              <w:t xml:space="preserve"> </w:t>
            </w:r>
            <w:r w:rsidRPr="00045E9E">
              <w:t>(сем.)</w:t>
            </w:r>
          </w:p>
        </w:tc>
      </w:tr>
      <w:tr w:rsidR="008140CF" w:rsidRPr="00045E9E" w:rsidTr="00B45745">
        <w:trPr>
          <w:cantSplit/>
          <w:trHeight w:val="1916"/>
        </w:trPr>
        <w:tc>
          <w:tcPr>
            <w:tcW w:w="1031" w:type="dxa"/>
            <w:vMerge/>
          </w:tcPr>
          <w:p w:rsidR="008140CF" w:rsidRPr="00045E9E" w:rsidRDefault="008140CF" w:rsidP="00B45745">
            <w:pPr>
              <w:jc w:val="right"/>
            </w:pPr>
          </w:p>
        </w:tc>
        <w:tc>
          <w:tcPr>
            <w:tcW w:w="454" w:type="dxa"/>
            <w:vMerge/>
            <w:textDirection w:val="btLr"/>
          </w:tcPr>
          <w:p w:rsidR="008140CF" w:rsidRPr="00045E9E" w:rsidRDefault="008140CF" w:rsidP="00B45745"/>
        </w:tc>
        <w:tc>
          <w:tcPr>
            <w:tcW w:w="425" w:type="dxa"/>
            <w:vMerge/>
            <w:textDirection w:val="btLr"/>
          </w:tcPr>
          <w:p w:rsidR="008140CF" w:rsidRPr="00045E9E" w:rsidRDefault="008140CF" w:rsidP="00B45745"/>
        </w:tc>
        <w:tc>
          <w:tcPr>
            <w:tcW w:w="425" w:type="dxa"/>
            <w:vMerge/>
          </w:tcPr>
          <w:p w:rsidR="008140CF" w:rsidRPr="00045E9E" w:rsidRDefault="008140CF" w:rsidP="00B45745">
            <w:pPr>
              <w:jc w:val="center"/>
            </w:pPr>
          </w:p>
        </w:tc>
        <w:tc>
          <w:tcPr>
            <w:tcW w:w="997" w:type="dxa"/>
            <w:vMerge/>
          </w:tcPr>
          <w:p w:rsidR="008140CF" w:rsidRPr="00045E9E" w:rsidRDefault="008140CF" w:rsidP="00B45745">
            <w:pPr>
              <w:jc w:val="center"/>
            </w:pPr>
          </w:p>
        </w:tc>
        <w:tc>
          <w:tcPr>
            <w:tcW w:w="851" w:type="dxa"/>
            <w:vMerge/>
          </w:tcPr>
          <w:p w:rsidR="008140CF" w:rsidRPr="00045E9E" w:rsidRDefault="008140CF" w:rsidP="00B45745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8140CF" w:rsidRPr="008140CF" w:rsidRDefault="008140CF" w:rsidP="00B45745">
            <w:pPr>
              <w:ind w:left="113" w:right="-108"/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 xml:space="preserve">Лекції </w:t>
            </w:r>
          </w:p>
          <w:p w:rsidR="008140CF" w:rsidRPr="008140CF" w:rsidRDefault="008140CF" w:rsidP="00B457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140CF" w:rsidRPr="008140CF" w:rsidRDefault="008140CF" w:rsidP="00B45745">
            <w:pPr>
              <w:spacing w:line="360" w:lineRule="auto"/>
              <w:ind w:left="113" w:right="-85"/>
              <w:rPr>
                <w:sz w:val="20"/>
                <w:szCs w:val="20"/>
              </w:rPr>
            </w:pPr>
            <w:r w:rsidRPr="008140CF">
              <w:rPr>
                <w:sz w:val="20"/>
                <w:szCs w:val="20"/>
              </w:rPr>
              <w:t>Лабораторні</w:t>
            </w:r>
          </w:p>
        </w:tc>
        <w:tc>
          <w:tcPr>
            <w:tcW w:w="709" w:type="dxa"/>
            <w:textDirection w:val="btLr"/>
          </w:tcPr>
          <w:p w:rsidR="008140CF" w:rsidRPr="008140CF" w:rsidRDefault="008140CF" w:rsidP="00B45745">
            <w:pPr>
              <w:pStyle w:val="2"/>
              <w:spacing w:line="360" w:lineRule="auto"/>
              <w:ind w:left="113" w:right="-96"/>
              <w:rPr>
                <w:sz w:val="20"/>
                <w:szCs w:val="20"/>
                <w:lang w:val="uk-UA"/>
              </w:rPr>
            </w:pPr>
            <w:proofErr w:type="spellStart"/>
            <w:r w:rsidRPr="008140CF">
              <w:rPr>
                <w:sz w:val="20"/>
                <w:szCs w:val="20"/>
              </w:rPr>
              <w:t>Практичні</w:t>
            </w:r>
            <w:proofErr w:type="spellEnd"/>
          </w:p>
        </w:tc>
        <w:tc>
          <w:tcPr>
            <w:tcW w:w="709" w:type="dxa"/>
            <w:vMerge/>
          </w:tcPr>
          <w:p w:rsidR="008140CF" w:rsidRPr="00045E9E" w:rsidRDefault="008140CF" w:rsidP="00B45745"/>
        </w:tc>
        <w:tc>
          <w:tcPr>
            <w:tcW w:w="708" w:type="dxa"/>
            <w:vMerge/>
          </w:tcPr>
          <w:p w:rsidR="008140CF" w:rsidRPr="00045E9E" w:rsidRDefault="008140CF" w:rsidP="00B45745"/>
        </w:tc>
        <w:tc>
          <w:tcPr>
            <w:tcW w:w="709" w:type="dxa"/>
            <w:vMerge/>
          </w:tcPr>
          <w:p w:rsidR="008140CF" w:rsidRPr="00045E9E" w:rsidRDefault="008140CF" w:rsidP="00B45745"/>
        </w:tc>
        <w:tc>
          <w:tcPr>
            <w:tcW w:w="704" w:type="dxa"/>
            <w:vMerge/>
          </w:tcPr>
          <w:p w:rsidR="008140CF" w:rsidRPr="00045E9E" w:rsidRDefault="008140CF" w:rsidP="00B45745"/>
        </w:tc>
        <w:tc>
          <w:tcPr>
            <w:tcW w:w="430" w:type="dxa"/>
            <w:vMerge/>
          </w:tcPr>
          <w:p w:rsidR="008140CF" w:rsidRPr="00045E9E" w:rsidRDefault="008140CF" w:rsidP="00B45745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40CF" w:rsidRPr="00045E9E" w:rsidRDefault="008140CF" w:rsidP="00B45745"/>
        </w:tc>
      </w:tr>
      <w:tr w:rsidR="008140CF" w:rsidRPr="00045E9E" w:rsidTr="00B45745">
        <w:trPr>
          <w:cantSplit/>
        </w:trPr>
        <w:tc>
          <w:tcPr>
            <w:tcW w:w="1031" w:type="dxa"/>
          </w:tcPr>
          <w:p w:rsidR="008140CF" w:rsidRPr="00045E9E" w:rsidRDefault="008140CF" w:rsidP="00B45745">
            <w:r w:rsidRPr="00045E9E">
              <w:t>Денна</w:t>
            </w:r>
          </w:p>
        </w:tc>
        <w:tc>
          <w:tcPr>
            <w:tcW w:w="454" w:type="dxa"/>
          </w:tcPr>
          <w:p w:rsidR="008140CF" w:rsidRPr="00045E9E" w:rsidRDefault="008140CF" w:rsidP="00B45745">
            <w:r>
              <w:t>1</w:t>
            </w:r>
          </w:p>
        </w:tc>
        <w:tc>
          <w:tcPr>
            <w:tcW w:w="425" w:type="dxa"/>
          </w:tcPr>
          <w:p w:rsidR="008140CF" w:rsidRPr="00045E9E" w:rsidRDefault="008140CF" w:rsidP="00B45745">
            <w:r>
              <w:t>1</w:t>
            </w:r>
          </w:p>
        </w:tc>
        <w:tc>
          <w:tcPr>
            <w:tcW w:w="425" w:type="dxa"/>
          </w:tcPr>
          <w:p w:rsidR="008140CF" w:rsidRPr="00045E9E" w:rsidRDefault="008140CF" w:rsidP="00B45745">
            <w:r w:rsidRPr="00045E9E">
              <w:t>3</w:t>
            </w:r>
          </w:p>
        </w:tc>
        <w:tc>
          <w:tcPr>
            <w:tcW w:w="997" w:type="dxa"/>
          </w:tcPr>
          <w:p w:rsidR="008140CF" w:rsidRPr="00045E9E" w:rsidRDefault="008140CF" w:rsidP="00B45745">
            <w:r w:rsidRPr="00045E9E">
              <w:t>90</w:t>
            </w:r>
          </w:p>
        </w:tc>
        <w:tc>
          <w:tcPr>
            <w:tcW w:w="851" w:type="dxa"/>
          </w:tcPr>
          <w:p w:rsidR="008140CF" w:rsidRPr="00045E9E" w:rsidRDefault="008140CF" w:rsidP="00B45745">
            <w:r w:rsidRPr="00045E9E">
              <w:t>32</w:t>
            </w:r>
          </w:p>
        </w:tc>
        <w:tc>
          <w:tcPr>
            <w:tcW w:w="708" w:type="dxa"/>
          </w:tcPr>
          <w:p w:rsidR="008140CF" w:rsidRPr="00045E9E" w:rsidRDefault="008140CF" w:rsidP="00B45745">
            <w:r>
              <w:t>16</w:t>
            </w:r>
          </w:p>
        </w:tc>
        <w:tc>
          <w:tcPr>
            <w:tcW w:w="709" w:type="dxa"/>
          </w:tcPr>
          <w:p w:rsidR="008140CF" w:rsidRPr="00045E9E" w:rsidRDefault="008140CF" w:rsidP="00B45745"/>
        </w:tc>
        <w:tc>
          <w:tcPr>
            <w:tcW w:w="709" w:type="dxa"/>
          </w:tcPr>
          <w:p w:rsidR="008140CF" w:rsidRPr="00045E9E" w:rsidRDefault="008140CF" w:rsidP="00B45745">
            <w:r>
              <w:t>16</w:t>
            </w:r>
          </w:p>
        </w:tc>
        <w:tc>
          <w:tcPr>
            <w:tcW w:w="709" w:type="dxa"/>
          </w:tcPr>
          <w:p w:rsidR="008140CF" w:rsidRPr="00045E9E" w:rsidRDefault="008140CF" w:rsidP="00B45745">
            <w:r w:rsidRPr="00045E9E">
              <w:t>58</w:t>
            </w:r>
          </w:p>
        </w:tc>
        <w:tc>
          <w:tcPr>
            <w:tcW w:w="708" w:type="dxa"/>
          </w:tcPr>
          <w:p w:rsidR="008140CF" w:rsidRPr="00045E9E" w:rsidRDefault="008140CF" w:rsidP="00B45745"/>
        </w:tc>
        <w:tc>
          <w:tcPr>
            <w:tcW w:w="709" w:type="dxa"/>
          </w:tcPr>
          <w:p w:rsidR="008140CF" w:rsidRPr="00045E9E" w:rsidRDefault="008140CF" w:rsidP="00B45745"/>
        </w:tc>
        <w:tc>
          <w:tcPr>
            <w:tcW w:w="704" w:type="dxa"/>
          </w:tcPr>
          <w:p w:rsidR="008140CF" w:rsidRPr="00045E9E" w:rsidRDefault="008140CF" w:rsidP="00B45745"/>
        </w:tc>
        <w:tc>
          <w:tcPr>
            <w:tcW w:w="430" w:type="dxa"/>
          </w:tcPr>
          <w:p w:rsidR="008140CF" w:rsidRPr="00045E9E" w:rsidRDefault="008140CF" w:rsidP="00B45745">
            <w:r w:rsidRPr="00045E9E">
              <w:t>1</w:t>
            </w:r>
          </w:p>
        </w:tc>
        <w:tc>
          <w:tcPr>
            <w:tcW w:w="709" w:type="dxa"/>
          </w:tcPr>
          <w:p w:rsidR="008140CF" w:rsidRPr="00045E9E" w:rsidRDefault="008140CF" w:rsidP="00B45745"/>
        </w:tc>
      </w:tr>
    </w:tbl>
    <w:p w:rsidR="00A65A9B" w:rsidRPr="00045E9E" w:rsidRDefault="00A65A9B" w:rsidP="00A65A9B">
      <w:pPr>
        <w:jc w:val="center"/>
      </w:pPr>
    </w:p>
    <w:p w:rsidR="00A65A9B" w:rsidRPr="00045E9E" w:rsidRDefault="00A65A9B" w:rsidP="00A65A9B">
      <w:pPr>
        <w:jc w:val="center"/>
      </w:pPr>
    </w:p>
    <w:p w:rsidR="00401915" w:rsidRDefault="00401915" w:rsidP="00A65A9B">
      <w:pPr>
        <w:jc w:val="center"/>
        <w:rPr>
          <w:b/>
          <w:sz w:val="28"/>
          <w:szCs w:val="28"/>
        </w:rPr>
      </w:pPr>
    </w:p>
    <w:p w:rsidR="00401915" w:rsidRPr="00A514E3" w:rsidRDefault="00401915" w:rsidP="00A65A9B">
      <w:pPr>
        <w:jc w:val="center"/>
        <w:rPr>
          <w:b/>
          <w:sz w:val="28"/>
          <w:szCs w:val="28"/>
        </w:rPr>
      </w:pPr>
    </w:p>
    <w:p w:rsidR="00A65A9B" w:rsidRPr="00A514E3" w:rsidRDefault="00A65A9B" w:rsidP="00A65A9B">
      <w:pPr>
        <w:jc w:val="center"/>
        <w:rPr>
          <w:b/>
          <w:sz w:val="28"/>
          <w:szCs w:val="28"/>
        </w:rPr>
      </w:pPr>
      <w:r w:rsidRPr="00A514E3">
        <w:rPr>
          <w:b/>
          <w:sz w:val="28"/>
          <w:szCs w:val="28"/>
        </w:rPr>
        <w:t>Львів</w:t>
      </w:r>
      <w:r w:rsidR="003827CF">
        <w:rPr>
          <w:b/>
          <w:sz w:val="28"/>
          <w:szCs w:val="28"/>
        </w:rPr>
        <w:t xml:space="preserve"> </w:t>
      </w:r>
      <w:r w:rsidRPr="00A514E3">
        <w:rPr>
          <w:b/>
          <w:sz w:val="28"/>
          <w:szCs w:val="28"/>
        </w:rPr>
        <w:t>20</w:t>
      </w:r>
      <w:proofErr w:type="spellStart"/>
      <w:r w:rsidRPr="00A514E3">
        <w:rPr>
          <w:b/>
          <w:sz w:val="28"/>
          <w:szCs w:val="28"/>
          <w:lang w:val="ru-RU"/>
        </w:rPr>
        <w:t>20</w:t>
      </w:r>
      <w:proofErr w:type="spellEnd"/>
      <w:r w:rsidR="003827CF">
        <w:rPr>
          <w:b/>
          <w:sz w:val="28"/>
          <w:szCs w:val="28"/>
        </w:rPr>
        <w:t xml:space="preserve"> </w:t>
      </w:r>
      <w:r w:rsidRPr="00A514E3">
        <w:rPr>
          <w:b/>
          <w:sz w:val="28"/>
          <w:szCs w:val="28"/>
        </w:rPr>
        <w:t>рік</w:t>
      </w:r>
    </w:p>
    <w:p w:rsidR="00A65A9B" w:rsidRPr="00A514E3" w:rsidRDefault="00A65A9B" w:rsidP="00A514E3">
      <w:pPr>
        <w:pStyle w:val="a3"/>
        <w:rPr>
          <w:szCs w:val="28"/>
        </w:rPr>
      </w:pPr>
      <w:r w:rsidRPr="00A514E3">
        <w:rPr>
          <w:szCs w:val="28"/>
        </w:rPr>
        <w:br w:type="page"/>
      </w:r>
      <w:r w:rsidRPr="00A514E3">
        <w:rPr>
          <w:szCs w:val="28"/>
        </w:rPr>
        <w:lastRenderedPageBreak/>
        <w:t xml:space="preserve">РОЗРОБНИК ПРОГРАМИ: </w:t>
      </w:r>
      <w:proofErr w:type="spellStart"/>
      <w:r w:rsidRPr="00A514E3">
        <w:rPr>
          <w:b/>
          <w:szCs w:val="28"/>
        </w:rPr>
        <w:t>Лотоцька</w:t>
      </w:r>
      <w:proofErr w:type="spellEnd"/>
      <w:r w:rsidRPr="00A514E3">
        <w:rPr>
          <w:b/>
          <w:szCs w:val="28"/>
        </w:rPr>
        <w:t xml:space="preserve"> Кароліна Ярославівна</w:t>
      </w:r>
      <w:r w:rsidRPr="00A514E3">
        <w:rPr>
          <w:szCs w:val="28"/>
        </w:rPr>
        <w:t xml:space="preserve">, </w:t>
      </w:r>
      <w:proofErr w:type="spellStart"/>
      <w:r w:rsidRPr="00A514E3">
        <w:rPr>
          <w:szCs w:val="28"/>
        </w:rPr>
        <w:t>к.ф.н</w:t>
      </w:r>
      <w:proofErr w:type="spellEnd"/>
      <w:r w:rsidRPr="00A514E3">
        <w:rPr>
          <w:szCs w:val="28"/>
        </w:rPr>
        <w:t>., доцент</w:t>
      </w:r>
    </w:p>
    <w:p w:rsidR="00A65A9B" w:rsidRPr="00045E9E" w:rsidRDefault="00A65A9B" w:rsidP="00A65A9B"/>
    <w:p w:rsidR="00A65A9B" w:rsidRPr="00045E9E" w:rsidRDefault="00A65A9B" w:rsidP="00A65A9B"/>
    <w:p w:rsidR="00A514E3" w:rsidRDefault="00A514E3" w:rsidP="00A514E3">
      <w:pPr>
        <w:rPr>
          <w:sz w:val="32"/>
        </w:rPr>
      </w:pPr>
    </w:p>
    <w:p w:rsidR="00A514E3" w:rsidRDefault="00A514E3" w:rsidP="00A514E3">
      <w:r>
        <w:rPr>
          <w:sz w:val="32"/>
        </w:rPr>
        <w:t xml:space="preserve">Робоча програма затверджена на засіданні кафедри англійської філології. </w:t>
      </w:r>
    </w:p>
    <w:p w:rsidR="00A514E3" w:rsidRDefault="00A514E3" w:rsidP="00A514E3">
      <w:pPr>
        <w:rPr>
          <w:sz w:val="32"/>
        </w:rPr>
      </w:pPr>
    </w:p>
    <w:p w:rsidR="00A514E3" w:rsidRDefault="00A514E3" w:rsidP="00A514E3">
      <w:r>
        <w:rPr>
          <w:sz w:val="32"/>
        </w:rPr>
        <w:t xml:space="preserve">Протокол № </w:t>
      </w:r>
      <w:r w:rsidRPr="003827CF">
        <w:rPr>
          <w:sz w:val="32"/>
        </w:rPr>
        <w:t>10</w:t>
      </w:r>
      <w:r>
        <w:rPr>
          <w:sz w:val="32"/>
        </w:rPr>
        <w:t xml:space="preserve"> від “ </w:t>
      </w:r>
      <w:r w:rsidRPr="003827CF">
        <w:rPr>
          <w:sz w:val="32"/>
        </w:rPr>
        <w:t>15</w:t>
      </w:r>
      <w:r>
        <w:rPr>
          <w:sz w:val="32"/>
        </w:rPr>
        <w:t xml:space="preserve"> ” травня 2020 р. </w:t>
      </w:r>
    </w:p>
    <w:p w:rsidR="00A514E3" w:rsidRDefault="00A514E3" w:rsidP="00A514E3">
      <w:pPr>
        <w:rPr>
          <w:sz w:val="32"/>
        </w:rPr>
      </w:pPr>
    </w:p>
    <w:p w:rsidR="00A514E3" w:rsidRDefault="00A514E3" w:rsidP="00A514E3">
      <w:pPr>
        <w:rPr>
          <w:sz w:val="32"/>
        </w:rPr>
      </w:pPr>
    </w:p>
    <w:p w:rsidR="00A514E3" w:rsidRDefault="003827CF" w:rsidP="00A514E3">
      <w:pPr>
        <w:rPr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61245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E3" w:rsidRDefault="00A514E3" w:rsidP="00A514E3">
      <w:pPr>
        <w:rPr>
          <w:sz w:val="28"/>
          <w:szCs w:val="28"/>
        </w:rPr>
      </w:pPr>
    </w:p>
    <w:p w:rsidR="00A514E3" w:rsidRDefault="00A514E3" w:rsidP="00A514E3">
      <w:pPr>
        <w:jc w:val="both"/>
        <w:rPr>
          <w:sz w:val="28"/>
          <w:szCs w:val="28"/>
        </w:rPr>
      </w:pPr>
    </w:p>
    <w:p w:rsidR="00A514E3" w:rsidRDefault="00A514E3" w:rsidP="00A514E3">
      <w:pPr>
        <w:jc w:val="both"/>
      </w:pPr>
      <w:r>
        <w:rPr>
          <w:sz w:val="28"/>
          <w:szCs w:val="28"/>
        </w:rPr>
        <w:t xml:space="preserve">Ухвалено Вченою радою факультету іноземних мов </w:t>
      </w:r>
    </w:p>
    <w:p w:rsidR="00A514E3" w:rsidRDefault="00A514E3" w:rsidP="00A514E3">
      <w:pPr>
        <w:jc w:val="both"/>
        <w:rPr>
          <w:sz w:val="28"/>
          <w:szCs w:val="28"/>
        </w:rPr>
      </w:pPr>
    </w:p>
    <w:p w:rsidR="00A514E3" w:rsidRDefault="00A514E3" w:rsidP="00A514E3">
      <w:pPr>
        <w:jc w:val="both"/>
      </w:pPr>
      <w:r>
        <w:rPr>
          <w:sz w:val="28"/>
          <w:szCs w:val="28"/>
        </w:rPr>
        <w:t>Протокол від 23 червня 2020 року № 10</w:t>
      </w:r>
    </w:p>
    <w:p w:rsidR="00A514E3" w:rsidRDefault="00A514E3" w:rsidP="00A514E3">
      <w:pPr>
        <w:jc w:val="both"/>
        <w:rPr>
          <w:sz w:val="28"/>
          <w:szCs w:val="28"/>
        </w:rPr>
      </w:pPr>
    </w:p>
    <w:p w:rsidR="00A514E3" w:rsidRDefault="00A514E3" w:rsidP="00A514E3">
      <w:pPr>
        <w:jc w:val="both"/>
        <w:rPr>
          <w:sz w:val="28"/>
          <w:szCs w:val="28"/>
        </w:rPr>
      </w:pPr>
    </w:p>
    <w:p w:rsidR="00A65A9B" w:rsidRPr="00045E9E" w:rsidRDefault="00A65A9B" w:rsidP="00A65A9B"/>
    <w:p w:rsidR="00A65A9B" w:rsidRPr="00045E9E" w:rsidRDefault="00A65A9B" w:rsidP="00A65A9B"/>
    <w:p w:rsidR="00A65A9B" w:rsidRPr="00045E9E" w:rsidRDefault="00A65A9B" w:rsidP="00A65A9B"/>
    <w:p w:rsidR="00A65A9B" w:rsidRPr="00045E9E" w:rsidRDefault="00A65A9B" w:rsidP="00A65A9B"/>
    <w:p w:rsidR="00A65A9B" w:rsidRPr="00045E9E" w:rsidRDefault="00A65A9B" w:rsidP="00A65A9B"/>
    <w:p w:rsidR="00A65A9B" w:rsidRPr="00045E9E" w:rsidRDefault="00A65A9B" w:rsidP="00A65A9B"/>
    <w:p w:rsidR="00A65A9B" w:rsidRPr="00045E9E" w:rsidRDefault="00A65A9B" w:rsidP="00A65A9B">
      <w:r w:rsidRPr="00045E9E">
        <w:t xml:space="preserve"> </w:t>
      </w:r>
    </w:p>
    <w:p w:rsidR="00A65A9B" w:rsidRPr="00045E9E" w:rsidRDefault="00A65A9B" w:rsidP="00A65A9B">
      <w:pPr>
        <w:jc w:val="center"/>
        <w:rPr>
          <w:b/>
          <w:bCs/>
          <w:caps/>
        </w:rPr>
      </w:pPr>
      <w:r w:rsidRPr="00045E9E">
        <w:br w:type="page"/>
      </w:r>
      <w:r w:rsidRPr="00045E9E">
        <w:lastRenderedPageBreak/>
        <w:t xml:space="preserve"> </w:t>
      </w:r>
      <w:r w:rsidRPr="00045E9E">
        <w:rPr>
          <w:b/>
          <w:bCs/>
          <w:caps/>
        </w:rPr>
        <w:t>Вступ</w:t>
      </w:r>
    </w:p>
    <w:p w:rsidR="00A65A9B" w:rsidRPr="00045E9E" w:rsidRDefault="00A65A9B" w:rsidP="00A65A9B">
      <w:pPr>
        <w:jc w:val="both"/>
      </w:pPr>
      <w:r w:rsidRPr="00045E9E">
        <w:t>Програма вивчення навчальної дисципліни вільного вибору студента “Спецкурс «Міжкультурна комунікація» складена   відповідно до освітньо-професійної програми підготовки з мови для спеціальності 8.02030302  “Мова та література (англійська)”</w:t>
      </w:r>
    </w:p>
    <w:p w:rsidR="00A65A9B" w:rsidRPr="00045E9E" w:rsidRDefault="00A65A9B" w:rsidP="00A65A9B">
      <w:pPr>
        <w:pStyle w:val="aa"/>
        <w:numPr>
          <w:ilvl w:val="0"/>
          <w:numId w:val="6"/>
        </w:numPr>
        <w:spacing w:before="100" w:beforeAutospacing="1" w:after="100" w:afterAutospacing="1"/>
        <w:jc w:val="both"/>
      </w:pPr>
      <w:r w:rsidRPr="00045E9E">
        <w:rPr>
          <w:b/>
          <w:i/>
        </w:rPr>
        <w:t>Метою та завданням</w:t>
      </w:r>
      <w:r w:rsidRPr="00045E9E">
        <w:t xml:space="preserve"> курсу є формування у студентів міжкультурної компетентності, необхідних знань про різні народи та культури з метою уникнення конфліктів та встановлення комфортних умов комунікації в різних сферах та життєвих ситуаціях як на рівні міжособистісного спілкування, так і на міжкультурному рівні.</w:t>
      </w:r>
    </w:p>
    <w:p w:rsidR="00A65A9B" w:rsidRPr="00045E9E" w:rsidRDefault="00A65A9B" w:rsidP="00A65A9B">
      <w:pPr>
        <w:tabs>
          <w:tab w:val="left" w:pos="284"/>
          <w:tab w:val="left" w:pos="567"/>
        </w:tabs>
        <w:ind w:firstLine="567"/>
        <w:jc w:val="both"/>
      </w:pPr>
      <w:r w:rsidRPr="00045E9E">
        <w:t xml:space="preserve">У результаті вивчення навчальної дисципліни студент повинен </w:t>
      </w: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numPr>
          <w:ilvl w:val="0"/>
          <w:numId w:val="4"/>
        </w:numPr>
      </w:pPr>
      <w:r w:rsidRPr="00045E9E">
        <w:rPr>
          <w:b/>
          <w:i/>
        </w:rPr>
        <w:t>знати:</w:t>
      </w:r>
      <w:r w:rsidRPr="00045E9E">
        <w:t xml:space="preserve"> основні поняття теорії комунікації. Основні моделі комунікативної діяльності (К. </w:t>
      </w:r>
      <w:proofErr w:type="spellStart"/>
      <w:r w:rsidRPr="00045E9E">
        <w:t>Шеннон</w:t>
      </w:r>
      <w:proofErr w:type="spellEnd"/>
      <w:r w:rsidRPr="00045E9E">
        <w:t xml:space="preserve">, Г. </w:t>
      </w:r>
      <w:proofErr w:type="spellStart"/>
      <w:r w:rsidRPr="00045E9E">
        <w:t>Лассвелл</w:t>
      </w:r>
      <w:proofErr w:type="spellEnd"/>
      <w:r w:rsidRPr="00045E9E">
        <w:t xml:space="preserve">, Р. Якобсон). Семіотичні основи комунікативної діяльності. Поняття коду. Вербальний та невербальний типи комунікації.  Предмет, об’єкт, суб’єкт міжкультурної комунікації. Поняття культури. Взаємозв’язок культури і комунікації. Особливості культур різних народів світу. Поняття культурної ідентичності. </w:t>
      </w:r>
      <w:proofErr w:type="spellStart"/>
      <w:r w:rsidRPr="00045E9E">
        <w:t>Інкультурація</w:t>
      </w:r>
      <w:proofErr w:type="spellEnd"/>
      <w:r w:rsidRPr="00045E9E">
        <w:t xml:space="preserve"> і соціалізація. Основні теорії міжкультурної комунікації (Е. </w:t>
      </w:r>
      <w:proofErr w:type="spellStart"/>
      <w:r w:rsidRPr="00045E9E">
        <w:t>Холл</w:t>
      </w:r>
      <w:proofErr w:type="spellEnd"/>
      <w:r w:rsidRPr="00045E9E">
        <w:t xml:space="preserve">, Г. </w:t>
      </w:r>
      <w:proofErr w:type="spellStart"/>
      <w:r w:rsidRPr="00045E9E">
        <w:t>Хофштеде</w:t>
      </w:r>
      <w:proofErr w:type="spellEnd"/>
      <w:r w:rsidRPr="00045E9E">
        <w:t>). Детермінанти/ «виміри» (</w:t>
      </w:r>
      <w:proofErr w:type="spellStart"/>
      <w:r w:rsidRPr="00045E9E">
        <w:t>Хофштеде</w:t>
      </w:r>
      <w:proofErr w:type="spellEnd"/>
      <w:r w:rsidRPr="00045E9E">
        <w:t xml:space="preserve">) міжкультурної комунікації: ставлення до природи; ставлення до часу; ставлення до простору; ставлення до спілкування; ставлення до особистої свободи тощо. Природа міжкультурних непорозумінь й конфліктів і засоби виходу з них. Поняття культурного стереотипу. Стереотипи та національний характер. Механізми </w:t>
      </w:r>
      <w:proofErr w:type="spellStart"/>
      <w:r w:rsidRPr="00045E9E">
        <w:t>стереотипізації</w:t>
      </w:r>
      <w:proofErr w:type="spellEnd"/>
      <w:r w:rsidRPr="00045E9E">
        <w:t xml:space="preserve">. Шляхи засвоєння іншої культури. Поняття «культурний шок». Психологічні механізми та етапи акультурації. Поняття комунікативної компетенції. Емпатія і толерантність. Рівні міжкультурної компетенції й засоби її підвищення. Модель засвоєння чужої культури М. </w:t>
      </w:r>
      <w:proofErr w:type="spellStart"/>
      <w:r w:rsidRPr="00045E9E">
        <w:t>Беннета</w:t>
      </w:r>
      <w:proofErr w:type="spellEnd"/>
      <w:r w:rsidRPr="00045E9E">
        <w:t>.</w:t>
      </w:r>
    </w:p>
    <w:p w:rsidR="00A65A9B" w:rsidRPr="00045E9E" w:rsidRDefault="00A65A9B" w:rsidP="00A65A9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45E9E">
        <w:rPr>
          <w:b/>
          <w:i/>
        </w:rPr>
        <w:t>вміти</w:t>
      </w:r>
      <w:r w:rsidRPr="00045E9E">
        <w:t xml:space="preserve">: оперувати знаннями культури у процесі комунікації; застосовувати на практиці отримані знання у конкретних ситуаціях міжкультурного спілкування; володіти способами поведінки у проблемних комунікативних ситуаціях; ставитися із повагою до мов, традицій та культур інших народів; володіти навичками ефективної </w:t>
      </w:r>
      <w:proofErr w:type="spellStart"/>
      <w:r w:rsidRPr="00045E9E">
        <w:t>кроскультурної</w:t>
      </w:r>
      <w:proofErr w:type="spellEnd"/>
      <w:r w:rsidRPr="00045E9E">
        <w:t xml:space="preserve"> взаємодії у професійних сферах вивчення та викладання іноземної мови.</w:t>
      </w:r>
    </w:p>
    <w:p w:rsidR="00A65A9B" w:rsidRPr="00045E9E" w:rsidRDefault="00A65A9B" w:rsidP="00A65A9B">
      <w:pPr>
        <w:rPr>
          <w:b/>
          <w:i/>
        </w:rPr>
      </w:pPr>
      <w:r w:rsidRPr="00045E9E">
        <w:rPr>
          <w:b/>
          <w:i/>
        </w:rPr>
        <w:t xml:space="preserve">Анотація  навчальної   дисципліни: </w:t>
      </w: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jc w:val="both"/>
      </w:pPr>
      <w:r w:rsidRPr="00045E9E">
        <w:t xml:space="preserve">Міжкультурна комунікація  — наука, яка вивчає особливості вербального та невербального спілкування людей, що належать до різних національних та </w:t>
      </w:r>
      <w:proofErr w:type="spellStart"/>
      <w:r w:rsidRPr="00045E9E">
        <w:t>лінгвокультурних</w:t>
      </w:r>
      <w:proofErr w:type="spellEnd"/>
      <w:r w:rsidRPr="00045E9E">
        <w:t xml:space="preserve"> спільнот.</w:t>
      </w:r>
    </w:p>
    <w:p w:rsidR="00A65A9B" w:rsidRPr="00045E9E" w:rsidRDefault="00A65A9B" w:rsidP="00A65A9B">
      <w:pPr>
        <w:jc w:val="both"/>
      </w:pPr>
    </w:p>
    <w:p w:rsidR="00A65A9B" w:rsidRPr="00045E9E" w:rsidRDefault="00A65A9B" w:rsidP="00A65A9B">
      <w:pPr>
        <w:jc w:val="both"/>
      </w:pPr>
      <w:r w:rsidRPr="00045E9E">
        <w:t xml:space="preserve">Міжкультурна комунікація як наука виникла з практичних потреб аналізу та узагальнення причин комунікативних невдач і конфліктів, зумовлених незнанням національно-культурних особливостей або їх нехтуванням. Міжкультурна комунікація перебуває у тісному зв’язку з багатьма галузями знань: етнологією, культурологією, мовознавством, історією, психологією, соціологією та ін. Особливе місце вона посідає в системі мовознавчих і суміжних наук, до якої належать лінгвокраїнознавство, етнолінгвістика, </w:t>
      </w:r>
      <w:proofErr w:type="spellStart"/>
      <w:r w:rsidRPr="00045E9E">
        <w:t>лінгвокультурологія</w:t>
      </w:r>
      <w:proofErr w:type="spellEnd"/>
      <w:r w:rsidRPr="00045E9E">
        <w:t xml:space="preserve">, психолінгвістика, </w:t>
      </w:r>
      <w:proofErr w:type="spellStart"/>
      <w:r w:rsidRPr="00045E9E">
        <w:t>прагмалінгвістика</w:t>
      </w:r>
      <w:proofErr w:type="spellEnd"/>
      <w:r w:rsidRPr="00045E9E">
        <w:t>, когнітивна лінгвістика, соціолінгвістика. Як самостійна наукова галузь, МК має свій об’єкт і предмет дослідження і посідає належне місце серед інших наук.</w:t>
      </w:r>
    </w:p>
    <w:p w:rsidR="00A65A9B" w:rsidRPr="00045E9E" w:rsidRDefault="00A65A9B" w:rsidP="00A65A9B">
      <w:pPr>
        <w:jc w:val="both"/>
      </w:pPr>
    </w:p>
    <w:p w:rsidR="00A65A9B" w:rsidRPr="00045E9E" w:rsidRDefault="00A65A9B" w:rsidP="00A65A9B">
      <w:pPr>
        <w:jc w:val="both"/>
      </w:pPr>
      <w:r w:rsidRPr="00045E9E">
        <w:t xml:space="preserve">Об’єктом міжкультурної комунікації є спілкування представників різних національних і </w:t>
      </w:r>
      <w:proofErr w:type="spellStart"/>
      <w:r w:rsidRPr="00045E9E">
        <w:t>лінгвокультурних</w:t>
      </w:r>
      <w:proofErr w:type="spellEnd"/>
      <w:r w:rsidRPr="00045E9E">
        <w:t xml:space="preserve"> спільнот, а предметом — прийняті в національних спільнотах мовні стереотипи і норми поведінки, спілкування, певні «культурні сценарії» різних дій, усталені моделі сприйняття та оцінювання предметів і явищ, соціально унормовані звички, традиції, ритуали, дозволи, заборони тощо.</w:t>
      </w:r>
    </w:p>
    <w:p w:rsidR="00A65A9B" w:rsidRPr="00045E9E" w:rsidRDefault="00A65A9B" w:rsidP="00A65A9B">
      <w:pPr>
        <w:jc w:val="both"/>
      </w:pPr>
    </w:p>
    <w:p w:rsidR="00A65A9B" w:rsidRPr="00045E9E" w:rsidRDefault="00A65A9B" w:rsidP="00A65A9B">
      <w:pPr>
        <w:rPr>
          <w:b/>
          <w:i/>
        </w:rPr>
      </w:pPr>
      <w:r w:rsidRPr="00045E9E">
        <w:rPr>
          <w:b/>
          <w:i/>
        </w:rPr>
        <w:t>Мова навчання : англійська</w:t>
      </w:r>
    </w:p>
    <w:p w:rsidR="00A65A9B" w:rsidRPr="00045E9E" w:rsidRDefault="00A65A9B" w:rsidP="00A65A9B">
      <w:pPr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045E9E">
        <w:rPr>
          <w:b/>
        </w:rPr>
        <w:lastRenderedPageBreak/>
        <w:t>ІНФОРМАЦІЙНИЙ ОБСЯГ ДИСЦИПЛІНИ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7"/>
        <w:gridCol w:w="985"/>
        <w:gridCol w:w="3947"/>
        <w:gridCol w:w="22"/>
        <w:gridCol w:w="992"/>
      </w:tblGrid>
      <w:tr w:rsidR="000435FE" w:rsidRPr="00CE2CF3" w:rsidTr="000435FE">
        <w:trPr>
          <w:trHeight w:val="421"/>
        </w:trPr>
        <w:tc>
          <w:tcPr>
            <w:tcW w:w="4248" w:type="dxa"/>
            <w:vAlign w:val="center"/>
          </w:tcPr>
          <w:p w:rsidR="000435FE" w:rsidRPr="00CE2CF3" w:rsidRDefault="000435FE" w:rsidP="00F62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92" w:type="dxa"/>
            <w:gridSpan w:val="2"/>
            <w:vAlign w:val="center"/>
          </w:tcPr>
          <w:p w:rsidR="000435FE" w:rsidRPr="00CE2CF3" w:rsidRDefault="000435FE" w:rsidP="00F62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435FE" w:rsidRPr="00CE2CF3" w:rsidRDefault="000435FE" w:rsidP="00F62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Практичні</w:t>
            </w:r>
          </w:p>
        </w:tc>
        <w:tc>
          <w:tcPr>
            <w:tcW w:w="992" w:type="dxa"/>
            <w:vAlign w:val="center"/>
          </w:tcPr>
          <w:p w:rsidR="000435FE" w:rsidRPr="00CE2CF3" w:rsidRDefault="000435FE" w:rsidP="00F62E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7CCA" w:rsidRPr="00CE2CF3" w:rsidTr="000435FE">
        <w:trPr>
          <w:cantSplit/>
          <w:trHeight w:val="1122"/>
        </w:trPr>
        <w:tc>
          <w:tcPr>
            <w:tcW w:w="4255" w:type="dxa"/>
            <w:gridSpan w:val="2"/>
            <w:vAlign w:val="center"/>
          </w:tcPr>
          <w:p w:rsidR="00647CCA" w:rsidRPr="00CE2CF3" w:rsidRDefault="00647CCA" w:rsidP="00F62E53">
            <w:pPr>
              <w:jc w:val="center"/>
              <w:rPr>
                <w:b/>
                <w:sz w:val="18"/>
                <w:szCs w:val="18"/>
              </w:rPr>
            </w:pPr>
            <w:r w:rsidRPr="00CE2CF3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985" w:type="dxa"/>
            <w:textDirection w:val="btLr"/>
            <w:vAlign w:val="center"/>
          </w:tcPr>
          <w:p w:rsidR="00647CCA" w:rsidRPr="00CE2CF3" w:rsidRDefault="00647CCA" w:rsidP="00F62E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2CF3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947" w:type="dxa"/>
            <w:vAlign w:val="center"/>
          </w:tcPr>
          <w:p w:rsidR="00647CCA" w:rsidRPr="00CE2CF3" w:rsidRDefault="00647CCA" w:rsidP="00F62E53">
            <w:pPr>
              <w:jc w:val="center"/>
              <w:rPr>
                <w:b/>
                <w:sz w:val="18"/>
                <w:szCs w:val="18"/>
              </w:rPr>
            </w:pPr>
            <w:r w:rsidRPr="00CE2CF3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1014" w:type="dxa"/>
            <w:gridSpan w:val="2"/>
            <w:textDirection w:val="btLr"/>
            <w:vAlign w:val="center"/>
          </w:tcPr>
          <w:p w:rsidR="00647CCA" w:rsidRPr="00CE2CF3" w:rsidRDefault="00647CCA" w:rsidP="00F62E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2CF3">
              <w:rPr>
                <w:b/>
                <w:sz w:val="18"/>
                <w:szCs w:val="18"/>
              </w:rPr>
              <w:t>К-ть годин</w:t>
            </w:r>
          </w:p>
        </w:tc>
      </w:tr>
      <w:tr w:rsidR="000435FE" w:rsidRPr="00CE2CF3" w:rsidTr="000435FE">
        <w:trPr>
          <w:trHeight w:val="41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  <w:r w:rsidRPr="000435FE">
              <w:rPr>
                <w:i/>
                <w:lang w:val="en-US"/>
              </w:rPr>
              <w:t>Communication as a type of human activity</w:t>
            </w:r>
            <w:r>
              <w:rPr>
                <w:i/>
              </w:rPr>
              <w:t xml:space="preserve">. </w:t>
            </w:r>
            <w:r w:rsidRPr="00045E9E">
              <w:rPr>
                <w:i/>
                <w:lang w:val="en-US"/>
              </w:rPr>
              <w:t>Models of communication: linear vs interactional. Shannon and Weaver’s model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647CCA">
            <w:pPr>
              <w:jc w:val="both"/>
              <w:rPr>
                <w:i/>
                <w:sz w:val="16"/>
                <w:szCs w:val="16"/>
              </w:rPr>
            </w:pPr>
            <w:r w:rsidRPr="00835BD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835BDF" w:rsidRDefault="000435FE" w:rsidP="00647CCA">
            <w:pPr>
              <w:rPr>
                <w:i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647CCA">
            <w:pPr>
              <w:jc w:val="both"/>
              <w:rPr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5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647CCA">
            <w:pPr>
              <w:rPr>
                <w:i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835BDF" w:rsidRDefault="000435FE" w:rsidP="00647C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835BDF" w:rsidRDefault="000435FE" w:rsidP="00647CCA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</w:rPr>
              <w:t>1.</w:t>
            </w:r>
            <w:r w:rsidRPr="00045E9E">
              <w:rPr>
                <w:i/>
                <w:lang w:val="en-US"/>
              </w:rPr>
              <w:t>Models of communication: linear vs interactional. Shannon and Weaver’s model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647C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60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lang w:val="en-US"/>
              </w:rPr>
            </w:pPr>
            <w:r>
              <w:rPr>
                <w:i/>
              </w:rPr>
              <w:t>2.</w:t>
            </w:r>
            <w:r w:rsidRPr="00045E9E">
              <w:rPr>
                <w:i/>
                <w:lang w:val="en-US"/>
              </w:rPr>
              <w:t>Basic notions: redundancy, entropy, convention. Code, channel, medium. Feedback.</w:t>
            </w:r>
          </w:p>
          <w:p w:rsidR="000435FE" w:rsidRPr="00045E9E" w:rsidRDefault="000435FE" w:rsidP="000435FE">
            <w:pPr>
              <w:rPr>
                <w:i/>
                <w:lang w:val="en-US"/>
              </w:rPr>
            </w:pPr>
            <w:proofErr w:type="spellStart"/>
            <w:r w:rsidRPr="00045E9E">
              <w:rPr>
                <w:i/>
                <w:lang w:val="en-US"/>
              </w:rPr>
              <w:t>H.Lasswell’s</w:t>
            </w:r>
            <w:proofErr w:type="spellEnd"/>
            <w:r w:rsidRPr="00045E9E">
              <w:rPr>
                <w:i/>
                <w:lang w:val="en-US"/>
              </w:rPr>
              <w:t xml:space="preserve"> </w:t>
            </w:r>
            <w:proofErr w:type="gramStart"/>
            <w:r w:rsidRPr="00045E9E">
              <w:rPr>
                <w:i/>
                <w:lang w:val="en-US"/>
              </w:rPr>
              <w:t>model .</w:t>
            </w:r>
            <w:proofErr w:type="gramEnd"/>
            <w:r w:rsidRPr="00045E9E">
              <w:rPr>
                <w:i/>
                <w:lang w:val="en-US"/>
              </w:rPr>
              <w:t xml:space="preserve"> </w:t>
            </w:r>
            <w:proofErr w:type="spellStart"/>
            <w:r w:rsidRPr="00045E9E">
              <w:rPr>
                <w:i/>
                <w:lang w:val="en-US"/>
              </w:rPr>
              <w:t>R.Jakobson’s</w:t>
            </w:r>
            <w:proofErr w:type="spellEnd"/>
            <w:r w:rsidRPr="00045E9E">
              <w:rPr>
                <w:i/>
                <w:lang w:val="en-US"/>
              </w:rPr>
              <w:t xml:space="preserve"> model of communication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835BDF">
              <w:rPr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835BDF" w:rsidRDefault="000435FE" w:rsidP="000435FE">
            <w:pPr>
              <w:rPr>
                <w:i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6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45E9E" w:rsidRDefault="000435FE" w:rsidP="000435FE">
            <w:pPr>
              <w:rPr>
                <w:i/>
                <w:lang w:val="en-US"/>
              </w:rPr>
            </w:pPr>
            <w:r>
              <w:rPr>
                <w:i/>
              </w:rPr>
              <w:t>2.</w:t>
            </w:r>
            <w:r w:rsidRPr="00045E9E">
              <w:rPr>
                <w:i/>
                <w:lang w:val="en-US"/>
              </w:rPr>
              <w:t>Code, channel, medium. Feedback.</w:t>
            </w:r>
          </w:p>
          <w:p w:rsidR="000435FE" w:rsidRPr="00835BDF" w:rsidRDefault="000435FE" w:rsidP="000435FE">
            <w:pPr>
              <w:rPr>
                <w:i/>
                <w:sz w:val="16"/>
                <w:szCs w:val="16"/>
                <w:lang w:val="en-US"/>
              </w:rPr>
            </w:pPr>
            <w:proofErr w:type="spellStart"/>
            <w:r w:rsidRPr="00045E9E">
              <w:rPr>
                <w:i/>
                <w:lang w:val="en-US"/>
              </w:rPr>
              <w:t>H.Lasswell’s</w:t>
            </w:r>
            <w:proofErr w:type="spellEnd"/>
            <w:r w:rsidRPr="00045E9E">
              <w:rPr>
                <w:i/>
                <w:lang w:val="en-US"/>
              </w:rPr>
              <w:t xml:space="preserve"> </w:t>
            </w:r>
            <w:proofErr w:type="gramStart"/>
            <w:r w:rsidRPr="00045E9E">
              <w:rPr>
                <w:i/>
                <w:lang w:val="en-US"/>
              </w:rPr>
              <w:t>model .</w:t>
            </w:r>
            <w:proofErr w:type="gramEnd"/>
            <w:r w:rsidRPr="00045E9E">
              <w:rPr>
                <w:i/>
                <w:lang w:val="en-US"/>
              </w:rPr>
              <w:t xml:space="preserve"> </w:t>
            </w:r>
            <w:proofErr w:type="spellStart"/>
            <w:r w:rsidRPr="00045E9E">
              <w:rPr>
                <w:i/>
                <w:lang w:val="en-US"/>
              </w:rPr>
              <w:t>R.Jakobson’s</w:t>
            </w:r>
            <w:proofErr w:type="spellEnd"/>
            <w:r w:rsidRPr="00045E9E">
              <w:rPr>
                <w:i/>
                <w:lang w:val="en-US"/>
              </w:rPr>
              <w:t xml:space="preserve"> model of communication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293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35FE" w:rsidRDefault="000435FE" w:rsidP="000435FE">
            <w:pPr>
              <w:rPr>
                <w:i/>
                <w:lang w:val="en-US"/>
              </w:rPr>
            </w:pPr>
            <w:r>
              <w:rPr>
                <w:i/>
              </w:rPr>
              <w:t>3.</w:t>
            </w:r>
            <w:r w:rsidRPr="000435FE">
              <w:rPr>
                <w:i/>
                <w:lang w:val="en-US"/>
              </w:rPr>
              <w:t>Semiotics and communication study. Types of signs. Codes and conventions. Presentational vs representational codes.</w:t>
            </w:r>
          </w:p>
          <w:p w:rsidR="000435FE" w:rsidRPr="000435FE" w:rsidRDefault="000435FE" w:rsidP="000435FE">
            <w:pPr>
              <w:rPr>
                <w:i/>
                <w:lang w:val="en-US"/>
              </w:rPr>
            </w:pPr>
            <w:r w:rsidRPr="00045E9E">
              <w:rPr>
                <w:i/>
                <w:lang w:val="en-US"/>
              </w:rPr>
              <w:t>Types of communication.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5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435FE" w:rsidRDefault="000435FE" w:rsidP="000435FE">
            <w:pPr>
              <w:rPr>
                <w:i/>
                <w:lang w:val="en-US"/>
              </w:rPr>
            </w:pPr>
            <w:r>
              <w:rPr>
                <w:i/>
              </w:rPr>
              <w:t>3.</w:t>
            </w:r>
            <w:r w:rsidRPr="000435FE">
              <w:rPr>
                <w:i/>
                <w:lang w:val="en-US"/>
              </w:rPr>
              <w:t>Codes and conventions. Presentational vs representational codes.</w:t>
            </w:r>
          </w:p>
          <w:p w:rsidR="000435FE" w:rsidRPr="00835BDF" w:rsidRDefault="000435FE" w:rsidP="000435FE">
            <w:pPr>
              <w:rPr>
                <w:i/>
                <w:sz w:val="16"/>
                <w:szCs w:val="16"/>
                <w:lang w:val="en-US"/>
              </w:rPr>
            </w:pPr>
            <w:r w:rsidRPr="00045E9E">
              <w:rPr>
                <w:i/>
                <w:lang w:val="en-US"/>
              </w:rPr>
              <w:t>Types of communication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60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4.</w:t>
            </w:r>
            <w:r w:rsidRPr="00045E9E">
              <w:rPr>
                <w:i/>
                <w:color w:val="000000"/>
                <w:lang w:val="en-US"/>
              </w:rPr>
              <w:t>Interpersonal communication: verbal vs non-verbal.</w:t>
            </w:r>
          </w:p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>Major theories of mass communication.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6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4.</w:t>
            </w:r>
            <w:r w:rsidRPr="00045E9E">
              <w:rPr>
                <w:i/>
                <w:color w:val="000000"/>
                <w:lang w:val="en-US"/>
              </w:rPr>
              <w:t>Interpersonal communication: verbal vs non-verbal.</w:t>
            </w:r>
          </w:p>
          <w:p w:rsidR="000435FE" w:rsidRPr="00835BDF" w:rsidRDefault="000435FE" w:rsidP="000435FE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>Major theories of mass communication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557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5.</w:t>
            </w:r>
            <w:r w:rsidRPr="00045E9E">
              <w:rPr>
                <w:i/>
                <w:color w:val="000000"/>
                <w:lang w:val="en-US"/>
              </w:rPr>
              <w:t>Topicality of intercultural communicat</w:t>
            </w:r>
            <w:r>
              <w:rPr>
                <w:i/>
                <w:color w:val="000000"/>
                <w:lang w:val="en-US"/>
              </w:rPr>
              <w:t>ion. The role of globalization.</w:t>
            </w:r>
          </w:p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>The notion of culture. Major characteristics of culture.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409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51B2C" w:rsidRDefault="000435FE" w:rsidP="000435FE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</w:rPr>
              <w:t>5.</w:t>
            </w:r>
            <w:r w:rsidRPr="00045E9E">
              <w:rPr>
                <w:i/>
                <w:color w:val="000000"/>
                <w:lang w:val="en-US"/>
              </w:rPr>
              <w:t>The notion of culture. Major characteristics of culture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41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6.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G.Hofstede’s</w:t>
            </w:r>
            <w:proofErr w:type="spellEnd"/>
            <w:r w:rsidRPr="00045E9E">
              <w:rPr>
                <w:i/>
                <w:color w:val="000000"/>
                <w:lang w:val="en-US"/>
              </w:rPr>
              <w:t xml:space="preserve"> cultural dimensions theory.</w:t>
            </w:r>
          </w:p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proofErr w:type="spellStart"/>
            <w:r w:rsidRPr="00045E9E">
              <w:rPr>
                <w:i/>
                <w:color w:val="000000"/>
                <w:lang w:val="en-US"/>
              </w:rPr>
              <w:t>F.Trompenaars</w:t>
            </w:r>
            <w:proofErr w:type="spellEnd"/>
            <w:r w:rsidRPr="00045E9E">
              <w:rPr>
                <w:i/>
                <w:color w:val="000000"/>
                <w:lang w:val="en-US"/>
              </w:rPr>
              <w:t>’ model of national culture differences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421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6.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G.Hofstede’s</w:t>
            </w:r>
            <w:proofErr w:type="spellEnd"/>
            <w:r w:rsidRPr="00045E9E">
              <w:rPr>
                <w:i/>
                <w:color w:val="000000"/>
                <w:lang w:val="en-US"/>
              </w:rPr>
              <w:t xml:space="preserve"> cultural dimensions theory.</w:t>
            </w:r>
          </w:p>
          <w:p w:rsidR="000435FE" w:rsidRPr="00051B2C" w:rsidRDefault="000435FE" w:rsidP="000435FE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045E9E">
              <w:rPr>
                <w:i/>
                <w:color w:val="000000"/>
                <w:lang w:val="en-US"/>
              </w:rPr>
              <w:t>F.Trompenaars</w:t>
            </w:r>
            <w:proofErr w:type="spellEnd"/>
            <w:r w:rsidRPr="00045E9E">
              <w:rPr>
                <w:i/>
                <w:color w:val="000000"/>
                <w:lang w:val="en-US"/>
              </w:rPr>
              <w:t>’ model of national culture differences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60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7.</w:t>
            </w:r>
            <w:r w:rsidRPr="00045E9E">
              <w:rPr>
                <w:i/>
                <w:color w:val="000000"/>
                <w:lang w:val="en-US"/>
              </w:rPr>
              <w:t>Vernal</w:t>
            </w:r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behaviours</w:t>
            </w:r>
            <w:proofErr w:type="spellEnd"/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vs</w:t>
            </w:r>
            <w:proofErr w:type="spellEnd"/>
            <w:r w:rsidRPr="00045E9E">
              <w:rPr>
                <w:i/>
                <w:color w:val="000000"/>
              </w:rPr>
              <w:t xml:space="preserve"> </w:t>
            </w:r>
            <w:r w:rsidRPr="00045E9E">
              <w:rPr>
                <w:i/>
                <w:color w:val="000000"/>
                <w:lang w:val="en-US"/>
              </w:rPr>
              <w:t>non</w:t>
            </w:r>
            <w:r w:rsidRPr="00045E9E">
              <w:rPr>
                <w:i/>
                <w:color w:val="000000"/>
              </w:rPr>
              <w:t>-</w:t>
            </w:r>
            <w:r w:rsidRPr="00045E9E">
              <w:rPr>
                <w:i/>
                <w:color w:val="000000"/>
                <w:lang w:val="en-US"/>
              </w:rPr>
              <w:t>verbal</w:t>
            </w:r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behaviours</w:t>
            </w:r>
            <w:proofErr w:type="spellEnd"/>
            <w:r w:rsidRPr="00045E9E">
              <w:rPr>
                <w:i/>
                <w:color w:val="000000"/>
              </w:rPr>
              <w:t xml:space="preserve">. </w:t>
            </w:r>
            <w:r w:rsidRPr="00045E9E">
              <w:rPr>
                <w:i/>
                <w:color w:val="000000"/>
                <w:lang w:val="en-US"/>
              </w:rPr>
              <w:t>The theory of positive and negative politeness.</w:t>
            </w:r>
          </w:p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 xml:space="preserve">Cultural identity. Cultural stereotypes. Perceptual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biase</w:t>
            </w:r>
            <w:proofErr w:type="spellEnd"/>
            <w:r>
              <w:rPr>
                <w:i/>
                <w:color w:val="000000"/>
              </w:rPr>
              <w:t>.</w:t>
            </w:r>
            <w:r w:rsidRPr="00045E9E">
              <w:rPr>
                <w:i/>
                <w:color w:val="000000"/>
                <w:lang w:val="en-US"/>
              </w:rPr>
              <w:t>s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5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0435FE" w:rsidRPr="00051B2C" w:rsidRDefault="000435FE" w:rsidP="000435FE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</w:rPr>
              <w:t>7.</w:t>
            </w:r>
            <w:r w:rsidRPr="00045E9E">
              <w:rPr>
                <w:i/>
                <w:color w:val="000000"/>
                <w:lang w:val="en-US"/>
              </w:rPr>
              <w:t>Vernal</w:t>
            </w:r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behaviours</w:t>
            </w:r>
            <w:proofErr w:type="spellEnd"/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vs</w:t>
            </w:r>
            <w:proofErr w:type="spellEnd"/>
            <w:r w:rsidRPr="00045E9E">
              <w:rPr>
                <w:i/>
                <w:color w:val="000000"/>
              </w:rPr>
              <w:t xml:space="preserve"> </w:t>
            </w:r>
            <w:r w:rsidRPr="00045E9E">
              <w:rPr>
                <w:i/>
                <w:color w:val="000000"/>
                <w:lang w:val="en-US"/>
              </w:rPr>
              <w:t>non</w:t>
            </w:r>
            <w:r w:rsidRPr="00045E9E">
              <w:rPr>
                <w:i/>
                <w:color w:val="000000"/>
              </w:rPr>
              <w:t>-</w:t>
            </w:r>
            <w:r w:rsidRPr="00045E9E">
              <w:rPr>
                <w:i/>
                <w:color w:val="000000"/>
                <w:lang w:val="en-US"/>
              </w:rPr>
              <w:t>verbal</w:t>
            </w:r>
            <w:r w:rsidRPr="00045E9E">
              <w:rPr>
                <w:i/>
                <w:color w:val="000000"/>
              </w:rPr>
              <w:t xml:space="preserve">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behaviours</w:t>
            </w:r>
            <w:proofErr w:type="spellEnd"/>
            <w:r w:rsidRPr="00045E9E">
              <w:rPr>
                <w:i/>
                <w:color w:val="000000"/>
              </w:rPr>
              <w:t xml:space="preserve">. </w:t>
            </w:r>
            <w:r w:rsidRPr="00045E9E">
              <w:rPr>
                <w:i/>
                <w:color w:val="000000"/>
                <w:lang w:val="en-US"/>
              </w:rPr>
              <w:t>Cultural identity. Cultural stereotypes.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0435FE" w:rsidRPr="00CE2CF3" w:rsidTr="000435FE">
        <w:trPr>
          <w:trHeight w:val="605"/>
        </w:trPr>
        <w:tc>
          <w:tcPr>
            <w:tcW w:w="4255" w:type="dxa"/>
            <w:gridSpan w:val="2"/>
            <w:vMerge w:val="restart"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8.</w:t>
            </w:r>
            <w:r w:rsidRPr="00045E9E">
              <w:rPr>
                <w:i/>
                <w:color w:val="000000"/>
                <w:lang w:val="en-US"/>
              </w:rPr>
              <w:t>Intercultural encounters and adaptation. Culture shock.</w:t>
            </w:r>
          </w:p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 xml:space="preserve">Intercultural competence.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M.Bennett’s</w:t>
            </w:r>
            <w:proofErr w:type="spellEnd"/>
            <w:r w:rsidRPr="00045E9E">
              <w:rPr>
                <w:i/>
                <w:color w:val="000000"/>
                <w:lang w:val="en-US"/>
              </w:rPr>
              <w:t xml:space="preserve"> </w:t>
            </w:r>
            <w:r w:rsidRPr="00045E9E">
              <w:rPr>
                <w:i/>
                <w:lang w:val="en-US"/>
              </w:rPr>
              <w:t>Developmental Model of Intercultural Sensitivity</w:t>
            </w:r>
          </w:p>
        </w:tc>
        <w:tc>
          <w:tcPr>
            <w:tcW w:w="985" w:type="dxa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47" w:type="dxa"/>
            <w:vAlign w:val="center"/>
          </w:tcPr>
          <w:p w:rsidR="000435FE" w:rsidRPr="00CE2CF3" w:rsidRDefault="000435FE" w:rsidP="000435FE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5FE" w:rsidRPr="00835BDF" w:rsidTr="000435FE">
        <w:trPr>
          <w:trHeight w:val="605"/>
        </w:trPr>
        <w:tc>
          <w:tcPr>
            <w:tcW w:w="4255" w:type="dxa"/>
            <w:gridSpan w:val="2"/>
            <w:vMerge/>
            <w:vAlign w:val="center"/>
          </w:tcPr>
          <w:p w:rsidR="000435FE" w:rsidRPr="00045E9E" w:rsidRDefault="000435FE" w:rsidP="000435FE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0435FE" w:rsidRPr="00CE2CF3" w:rsidRDefault="000435FE" w:rsidP="000435F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 w:rsidR="00CA4032" w:rsidRPr="00045E9E" w:rsidRDefault="00CA4032" w:rsidP="00CA4032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8.</w:t>
            </w:r>
            <w:r w:rsidRPr="00045E9E">
              <w:rPr>
                <w:i/>
                <w:color w:val="000000"/>
                <w:lang w:val="en-US"/>
              </w:rPr>
              <w:t>Culture shock.</w:t>
            </w:r>
          </w:p>
          <w:p w:rsidR="000435FE" w:rsidRPr="00051B2C" w:rsidRDefault="00CA4032" w:rsidP="00CA4032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 w:rsidRPr="00045E9E">
              <w:rPr>
                <w:i/>
                <w:color w:val="000000"/>
                <w:lang w:val="en-US"/>
              </w:rPr>
              <w:t xml:space="preserve">Intercultural competence. </w:t>
            </w:r>
            <w:proofErr w:type="spellStart"/>
            <w:r w:rsidRPr="00045E9E">
              <w:rPr>
                <w:i/>
                <w:color w:val="000000"/>
                <w:lang w:val="en-US"/>
              </w:rPr>
              <w:t>M.Bennett’s</w:t>
            </w:r>
            <w:proofErr w:type="spellEnd"/>
            <w:r w:rsidRPr="00045E9E">
              <w:rPr>
                <w:i/>
                <w:color w:val="000000"/>
                <w:lang w:val="en-US"/>
              </w:rPr>
              <w:t xml:space="preserve"> </w:t>
            </w:r>
            <w:r w:rsidRPr="00045E9E">
              <w:rPr>
                <w:i/>
                <w:lang w:val="en-US"/>
              </w:rPr>
              <w:t>Developmental Model of Intercultural Sensitivity</w:t>
            </w:r>
          </w:p>
        </w:tc>
        <w:tc>
          <w:tcPr>
            <w:tcW w:w="1014" w:type="dxa"/>
            <w:gridSpan w:val="2"/>
            <w:vAlign w:val="center"/>
          </w:tcPr>
          <w:p w:rsidR="000435FE" w:rsidRPr="00835BDF" w:rsidRDefault="000435FE" w:rsidP="000435F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A4032" w:rsidRPr="00835BDF" w:rsidTr="000435FE">
        <w:trPr>
          <w:trHeight w:val="605"/>
        </w:trPr>
        <w:tc>
          <w:tcPr>
            <w:tcW w:w="4255" w:type="dxa"/>
            <w:gridSpan w:val="2"/>
            <w:vAlign w:val="center"/>
          </w:tcPr>
          <w:p w:rsidR="00CA4032" w:rsidRPr="00CA4032" w:rsidRDefault="00CA4032" w:rsidP="000435F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РАЗОМ</w:t>
            </w:r>
          </w:p>
        </w:tc>
        <w:tc>
          <w:tcPr>
            <w:tcW w:w="985" w:type="dxa"/>
            <w:vAlign w:val="center"/>
          </w:tcPr>
          <w:p w:rsidR="00CA4032" w:rsidRPr="00CE2CF3" w:rsidRDefault="00CA4032" w:rsidP="000435F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7" w:type="dxa"/>
            <w:vAlign w:val="center"/>
          </w:tcPr>
          <w:p w:rsidR="00CA4032" w:rsidRDefault="00CA4032" w:rsidP="00CA4032">
            <w:pPr>
              <w:rPr>
                <w:i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A4032" w:rsidRPr="00CA4032" w:rsidRDefault="00CA4032" w:rsidP="000435F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</w:tbl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r w:rsidRPr="00045E9E">
        <w:t>2.5.  Самостійна робота студента:</w:t>
      </w:r>
    </w:p>
    <w:p w:rsidR="00A65A9B" w:rsidRPr="00045E9E" w:rsidRDefault="00A65A9B" w:rsidP="00A65A9B">
      <w:r w:rsidRPr="00045E9E">
        <w:lastRenderedPageBreak/>
        <w:t xml:space="preserve">                  1) додаткове самостійне опрацювання  окремих тем згідно з навчально-тематичним </w:t>
      </w:r>
    </w:p>
    <w:p w:rsidR="00A65A9B" w:rsidRPr="00045E9E" w:rsidRDefault="00A65A9B" w:rsidP="00A65A9B">
      <w:r w:rsidRPr="00045E9E">
        <w:t xml:space="preserve">                         планом;                </w:t>
      </w:r>
    </w:p>
    <w:p w:rsidR="00A65A9B" w:rsidRPr="00045E9E" w:rsidRDefault="00A65A9B" w:rsidP="00A65A9B">
      <w:r w:rsidRPr="00045E9E">
        <w:t xml:space="preserve">                   2) підготовка до заліку</w:t>
      </w:r>
    </w:p>
    <w:p w:rsidR="00A65A9B" w:rsidRPr="00045E9E" w:rsidRDefault="00A65A9B" w:rsidP="00A65A9B">
      <w:r w:rsidRPr="00045E9E">
        <w:t xml:space="preserve">           </w:t>
      </w:r>
    </w:p>
    <w:p w:rsidR="00A65A9B" w:rsidRPr="00045E9E" w:rsidRDefault="00A65A9B" w:rsidP="00A65A9B">
      <w:pPr>
        <w:pStyle w:val="aa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045E9E">
        <w:rPr>
          <w:b/>
        </w:rPr>
        <w:t>ПЕРЕЛІК РЕКОМЕНДОВАНИХ ПІДРУЧНИКІВ, МЕТОДИЧНИХ ТА ДИДАКТИЧНИХ МАТЕРІАЛІВ</w:t>
      </w: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numPr>
          <w:ilvl w:val="0"/>
          <w:numId w:val="3"/>
        </w:numPr>
        <w:rPr>
          <w:lang w:val="ru-RU"/>
        </w:rPr>
      </w:pPr>
      <w:r w:rsidRPr="00045E9E">
        <w:rPr>
          <w:lang w:val="ru-RU"/>
        </w:rPr>
        <w:t>Барт Р. Избранные работы. Семиотика. Поэтика. – М.: Прогресс, 1994.</w:t>
      </w:r>
    </w:p>
    <w:p w:rsidR="00A65A9B" w:rsidRPr="00045E9E" w:rsidRDefault="00A65A9B" w:rsidP="00A65A9B">
      <w:pPr>
        <w:numPr>
          <w:ilvl w:val="0"/>
          <w:numId w:val="3"/>
        </w:numPr>
      </w:pPr>
      <w:proofErr w:type="spellStart"/>
      <w:r w:rsidRPr="00045E9E">
        <w:t>Бацевич</w:t>
      </w:r>
      <w:proofErr w:type="spellEnd"/>
      <w:r w:rsidRPr="00045E9E">
        <w:t xml:space="preserve"> Ф.С.  Основи комунікативної лінгвістики. – К.: «Академія», 2004. – 344с.</w:t>
      </w:r>
    </w:p>
    <w:p w:rsidR="00A65A9B" w:rsidRPr="00045E9E" w:rsidRDefault="00A65A9B" w:rsidP="00A65A9B">
      <w:pPr>
        <w:numPr>
          <w:ilvl w:val="0"/>
          <w:numId w:val="3"/>
        </w:numPr>
      </w:pPr>
      <w:proofErr w:type="spellStart"/>
      <w:r w:rsidRPr="00045E9E">
        <w:t>Бацевич</w:t>
      </w:r>
      <w:proofErr w:type="spellEnd"/>
      <w:r w:rsidRPr="00045E9E">
        <w:t xml:space="preserve"> Ф. С. Словник термінів міжкультурної комунікації. — К., 2007.</w:t>
      </w:r>
    </w:p>
    <w:p w:rsidR="00A65A9B" w:rsidRPr="00045E9E" w:rsidRDefault="00A65A9B" w:rsidP="00A65A9B">
      <w:pPr>
        <w:numPr>
          <w:ilvl w:val="0"/>
          <w:numId w:val="3"/>
        </w:numPr>
        <w:jc w:val="both"/>
        <w:rPr>
          <w:lang w:val="ru-RU"/>
        </w:rPr>
      </w:pPr>
      <w:r w:rsidRPr="00045E9E">
        <w:rPr>
          <w:lang w:val="ru-RU"/>
        </w:rPr>
        <w:t>Винер Н. Информация, язык и общество// Кибернетика. – М.: Наука, 1983.</w:t>
      </w:r>
    </w:p>
    <w:p w:rsidR="00A65A9B" w:rsidRPr="00045E9E" w:rsidRDefault="00A65A9B" w:rsidP="00A65A9B">
      <w:pPr>
        <w:numPr>
          <w:ilvl w:val="0"/>
          <w:numId w:val="3"/>
        </w:numPr>
        <w:jc w:val="both"/>
      </w:pPr>
      <w:r w:rsidRPr="00045E9E">
        <w:t>Гриценко Т.Б. Етика ділового спілкування. – К.: Центр уч. літ-ри, 2007 – 344 с.</w:t>
      </w:r>
    </w:p>
    <w:p w:rsidR="00A65A9B" w:rsidRPr="00045E9E" w:rsidRDefault="00A65A9B" w:rsidP="00A65A9B">
      <w:pPr>
        <w:numPr>
          <w:ilvl w:val="0"/>
          <w:numId w:val="3"/>
        </w:numPr>
        <w:jc w:val="both"/>
      </w:pPr>
      <w:proofErr w:type="spellStart"/>
      <w:r w:rsidRPr="00045E9E">
        <w:t>Грушевицкая</w:t>
      </w:r>
      <w:proofErr w:type="spellEnd"/>
      <w:r w:rsidRPr="00045E9E">
        <w:t xml:space="preserve"> Т.Г., </w:t>
      </w:r>
      <w:proofErr w:type="spellStart"/>
      <w:r w:rsidRPr="00045E9E">
        <w:t>Попков</w:t>
      </w:r>
      <w:proofErr w:type="spellEnd"/>
      <w:r w:rsidRPr="00045E9E">
        <w:t xml:space="preserve"> В.Д., </w:t>
      </w:r>
      <w:proofErr w:type="spellStart"/>
      <w:r w:rsidRPr="00045E9E">
        <w:t>Садохин</w:t>
      </w:r>
      <w:proofErr w:type="spellEnd"/>
      <w:r w:rsidRPr="00045E9E">
        <w:t xml:space="preserve"> А.П. </w:t>
      </w:r>
      <w:proofErr w:type="spellStart"/>
      <w:r w:rsidRPr="00045E9E">
        <w:t>Основы</w:t>
      </w:r>
      <w:proofErr w:type="spellEnd"/>
      <w:r w:rsidRPr="00045E9E">
        <w:t xml:space="preserve"> </w:t>
      </w:r>
      <w:proofErr w:type="spellStart"/>
      <w:r w:rsidRPr="00045E9E">
        <w:t>межкультурной</w:t>
      </w:r>
      <w:proofErr w:type="spellEnd"/>
      <w:r w:rsidRPr="00045E9E">
        <w:t xml:space="preserve"> </w:t>
      </w:r>
      <w:proofErr w:type="spellStart"/>
      <w:r w:rsidRPr="00045E9E">
        <w:t>коммуникации</w:t>
      </w:r>
      <w:proofErr w:type="spellEnd"/>
      <w:r w:rsidRPr="00045E9E">
        <w:t xml:space="preserve">: </w:t>
      </w:r>
      <w:proofErr w:type="spellStart"/>
      <w:r w:rsidRPr="00045E9E">
        <w:t>Учебник</w:t>
      </w:r>
      <w:proofErr w:type="spellEnd"/>
      <w:r w:rsidRPr="00045E9E">
        <w:t xml:space="preserve"> для </w:t>
      </w:r>
      <w:proofErr w:type="spellStart"/>
      <w:r w:rsidRPr="00045E9E">
        <w:t>вузов</w:t>
      </w:r>
      <w:proofErr w:type="spellEnd"/>
      <w:r w:rsidRPr="00045E9E">
        <w:t xml:space="preserve"> (</w:t>
      </w:r>
      <w:proofErr w:type="spellStart"/>
      <w:r w:rsidRPr="00045E9E">
        <w:t>Под</w:t>
      </w:r>
      <w:proofErr w:type="spellEnd"/>
      <w:r w:rsidRPr="00045E9E">
        <w:t xml:space="preserve"> ред. А.П. </w:t>
      </w:r>
      <w:proofErr w:type="spellStart"/>
      <w:r w:rsidRPr="00045E9E">
        <w:t>Садохина</w:t>
      </w:r>
      <w:proofErr w:type="spellEnd"/>
      <w:r w:rsidRPr="00045E9E">
        <w:t xml:space="preserve">. - М.:ЮНИТИ-ДАНА, 2002. - 352с.) </w:t>
      </w:r>
    </w:p>
    <w:p w:rsidR="00A65A9B" w:rsidRPr="00045E9E" w:rsidRDefault="00A65A9B" w:rsidP="00A65A9B">
      <w:pPr>
        <w:numPr>
          <w:ilvl w:val="0"/>
          <w:numId w:val="3"/>
        </w:numPr>
        <w:jc w:val="both"/>
      </w:pPr>
      <w:proofErr w:type="spellStart"/>
      <w:r w:rsidRPr="00045E9E">
        <w:t>Гудков</w:t>
      </w:r>
      <w:proofErr w:type="spellEnd"/>
      <w:r w:rsidRPr="00045E9E">
        <w:t xml:space="preserve"> Д. Б. </w:t>
      </w:r>
      <w:proofErr w:type="spellStart"/>
      <w:r w:rsidRPr="00045E9E">
        <w:t>Теория</w:t>
      </w:r>
      <w:proofErr w:type="spellEnd"/>
      <w:r w:rsidRPr="00045E9E">
        <w:t xml:space="preserve"> и практика </w:t>
      </w:r>
      <w:proofErr w:type="spellStart"/>
      <w:r w:rsidRPr="00045E9E">
        <w:t>межкультурной</w:t>
      </w:r>
      <w:proofErr w:type="spellEnd"/>
      <w:r w:rsidRPr="00045E9E">
        <w:t xml:space="preserve"> </w:t>
      </w:r>
      <w:proofErr w:type="spellStart"/>
      <w:r w:rsidRPr="00045E9E">
        <w:t>коммуникации</w:t>
      </w:r>
      <w:proofErr w:type="spellEnd"/>
      <w:r w:rsidRPr="00045E9E">
        <w:t xml:space="preserve"> – М. : </w:t>
      </w:r>
      <w:proofErr w:type="spellStart"/>
      <w:r w:rsidRPr="00045E9E">
        <w:t>Гнозис</w:t>
      </w:r>
      <w:proofErr w:type="spellEnd"/>
      <w:r w:rsidRPr="00045E9E">
        <w:t xml:space="preserve">, 2003. – 288 с.  </w:t>
      </w:r>
    </w:p>
    <w:p w:rsidR="00A65A9B" w:rsidRPr="00045E9E" w:rsidRDefault="00A65A9B" w:rsidP="00A65A9B">
      <w:pPr>
        <w:numPr>
          <w:ilvl w:val="0"/>
          <w:numId w:val="3"/>
        </w:numPr>
        <w:jc w:val="both"/>
      </w:pPr>
      <w:proofErr w:type="spellStart"/>
      <w:r w:rsidRPr="00045E9E">
        <w:t>Донец</w:t>
      </w:r>
      <w:proofErr w:type="spellEnd"/>
      <w:r w:rsidRPr="00045E9E">
        <w:t xml:space="preserve">  П.  Т.  </w:t>
      </w:r>
      <w:proofErr w:type="spellStart"/>
      <w:r w:rsidRPr="00045E9E">
        <w:t>Основы</w:t>
      </w:r>
      <w:proofErr w:type="spellEnd"/>
      <w:r w:rsidRPr="00045E9E">
        <w:t xml:space="preserve">  </w:t>
      </w:r>
      <w:proofErr w:type="spellStart"/>
      <w:r w:rsidRPr="00045E9E">
        <w:t>общей</w:t>
      </w:r>
      <w:proofErr w:type="spellEnd"/>
      <w:r w:rsidRPr="00045E9E">
        <w:t xml:space="preserve">  </w:t>
      </w:r>
      <w:proofErr w:type="spellStart"/>
      <w:r w:rsidRPr="00045E9E">
        <w:t>теории</w:t>
      </w:r>
      <w:proofErr w:type="spellEnd"/>
      <w:r w:rsidRPr="00045E9E">
        <w:t xml:space="preserve">  </w:t>
      </w:r>
      <w:proofErr w:type="spellStart"/>
      <w:r w:rsidRPr="00045E9E">
        <w:t>межкультурной</w:t>
      </w:r>
      <w:proofErr w:type="spellEnd"/>
      <w:r w:rsidRPr="00045E9E">
        <w:t xml:space="preserve">  </w:t>
      </w:r>
      <w:proofErr w:type="spellStart"/>
      <w:r w:rsidRPr="00045E9E">
        <w:t>коммуникации</w:t>
      </w:r>
      <w:proofErr w:type="spellEnd"/>
      <w:r w:rsidRPr="00045E9E">
        <w:t xml:space="preserve">:  </w:t>
      </w:r>
      <w:proofErr w:type="spellStart"/>
      <w:r w:rsidRPr="00045E9E">
        <w:t>научный</w:t>
      </w:r>
      <w:proofErr w:type="spellEnd"/>
      <w:r w:rsidRPr="00045E9E">
        <w:t xml:space="preserve"> статус, </w:t>
      </w:r>
      <w:proofErr w:type="spellStart"/>
      <w:r w:rsidRPr="00045E9E">
        <w:t>понятийный</w:t>
      </w:r>
      <w:proofErr w:type="spellEnd"/>
      <w:r w:rsidRPr="00045E9E">
        <w:t xml:space="preserve"> </w:t>
      </w:r>
      <w:proofErr w:type="spellStart"/>
      <w:r w:rsidRPr="00045E9E">
        <w:t>аппарат</w:t>
      </w:r>
      <w:proofErr w:type="spellEnd"/>
      <w:r w:rsidRPr="00045E9E">
        <w:t xml:space="preserve">, </w:t>
      </w:r>
      <w:proofErr w:type="spellStart"/>
      <w:r w:rsidRPr="00045E9E">
        <w:t>языковой</w:t>
      </w:r>
      <w:proofErr w:type="spellEnd"/>
      <w:r w:rsidRPr="00045E9E">
        <w:t xml:space="preserve"> и </w:t>
      </w:r>
      <w:proofErr w:type="spellStart"/>
      <w:r w:rsidRPr="00045E9E">
        <w:t>неязыковой</w:t>
      </w:r>
      <w:proofErr w:type="spellEnd"/>
      <w:r w:rsidRPr="00045E9E">
        <w:t xml:space="preserve"> </w:t>
      </w:r>
      <w:proofErr w:type="spellStart"/>
      <w:r w:rsidRPr="00045E9E">
        <w:t>аспекты</w:t>
      </w:r>
      <w:proofErr w:type="spellEnd"/>
      <w:r w:rsidRPr="00045E9E">
        <w:t xml:space="preserve">, </w:t>
      </w:r>
      <w:proofErr w:type="spellStart"/>
      <w:r w:rsidRPr="00045E9E">
        <w:t>вопросы</w:t>
      </w:r>
      <w:proofErr w:type="spellEnd"/>
      <w:r w:rsidRPr="00045E9E">
        <w:t xml:space="preserve"> </w:t>
      </w:r>
      <w:proofErr w:type="spellStart"/>
      <w:r w:rsidRPr="00045E9E">
        <w:t>этики</w:t>
      </w:r>
      <w:proofErr w:type="spellEnd"/>
      <w:r w:rsidRPr="00045E9E">
        <w:t xml:space="preserve"> и дидактики – </w:t>
      </w:r>
      <w:proofErr w:type="spellStart"/>
      <w:r w:rsidRPr="00045E9E">
        <w:t>Харьков</w:t>
      </w:r>
      <w:proofErr w:type="spellEnd"/>
      <w:r w:rsidRPr="00045E9E">
        <w:t xml:space="preserve"> : Штрих, 2001. – 386 с.  </w:t>
      </w:r>
    </w:p>
    <w:p w:rsidR="00A65A9B" w:rsidRPr="00045E9E" w:rsidRDefault="00A65A9B" w:rsidP="00A65A9B">
      <w:pPr>
        <w:numPr>
          <w:ilvl w:val="0"/>
          <w:numId w:val="3"/>
        </w:numPr>
        <w:jc w:val="both"/>
      </w:pPr>
      <w:proofErr w:type="spellStart"/>
      <w:r w:rsidRPr="00045E9E">
        <w:t>Зусман</w:t>
      </w:r>
      <w:proofErr w:type="spellEnd"/>
      <w:r w:rsidRPr="00045E9E">
        <w:t xml:space="preserve"> В. Г.. </w:t>
      </w:r>
      <w:proofErr w:type="spellStart"/>
      <w:r w:rsidRPr="00045E9E">
        <w:rPr>
          <w:bCs/>
        </w:rPr>
        <w:t>Межкультурная</w:t>
      </w:r>
      <w:proofErr w:type="spellEnd"/>
      <w:r w:rsidRPr="00045E9E">
        <w:rPr>
          <w:bCs/>
        </w:rPr>
        <w:t xml:space="preserve"> </w:t>
      </w:r>
      <w:proofErr w:type="spellStart"/>
      <w:r w:rsidRPr="00045E9E">
        <w:rPr>
          <w:bCs/>
        </w:rPr>
        <w:t>коммуникация</w:t>
      </w:r>
      <w:proofErr w:type="spellEnd"/>
      <w:r w:rsidRPr="00045E9E">
        <w:t xml:space="preserve">. </w:t>
      </w:r>
      <w:proofErr w:type="spellStart"/>
      <w:r w:rsidRPr="00045E9E">
        <w:t>Основная</w:t>
      </w:r>
      <w:proofErr w:type="spellEnd"/>
      <w:r w:rsidRPr="00045E9E">
        <w:t xml:space="preserve"> </w:t>
      </w:r>
      <w:proofErr w:type="spellStart"/>
      <w:r w:rsidRPr="00045E9E">
        <w:t>часть</w:t>
      </w:r>
      <w:proofErr w:type="spellEnd"/>
      <w:r w:rsidRPr="00045E9E">
        <w:t xml:space="preserve">: </w:t>
      </w:r>
      <w:proofErr w:type="spellStart"/>
      <w:r w:rsidRPr="00045E9E">
        <w:t>Учебное</w:t>
      </w:r>
      <w:proofErr w:type="spellEnd"/>
      <w:r w:rsidRPr="00045E9E">
        <w:t xml:space="preserve"> </w:t>
      </w:r>
      <w:proofErr w:type="spellStart"/>
      <w:r w:rsidRPr="00045E9E">
        <w:t>пособие</w:t>
      </w:r>
      <w:proofErr w:type="spellEnd"/>
      <w:r w:rsidRPr="00045E9E">
        <w:t xml:space="preserve"> для </w:t>
      </w:r>
      <w:proofErr w:type="spellStart"/>
      <w:r w:rsidRPr="00045E9E">
        <w:t>студентов</w:t>
      </w:r>
      <w:proofErr w:type="spellEnd"/>
      <w:r w:rsidRPr="00045E9E">
        <w:t xml:space="preserve"> </w:t>
      </w:r>
      <w:proofErr w:type="spellStart"/>
      <w:r w:rsidRPr="00045E9E">
        <w:t>высших</w:t>
      </w:r>
      <w:proofErr w:type="spellEnd"/>
      <w:r w:rsidRPr="00045E9E">
        <w:t xml:space="preserve"> </w:t>
      </w:r>
      <w:proofErr w:type="spellStart"/>
      <w:r w:rsidRPr="00045E9E">
        <w:t>учебных</w:t>
      </w:r>
      <w:proofErr w:type="spellEnd"/>
      <w:r w:rsidRPr="00045E9E">
        <w:t xml:space="preserve"> заведений. </w:t>
      </w:r>
      <w:r w:rsidRPr="00045E9E">
        <w:rPr>
          <w:lang w:val="ru-RU"/>
        </w:rPr>
        <w:t xml:space="preserve">- </w:t>
      </w:r>
      <w:proofErr w:type="spellStart"/>
      <w:r w:rsidRPr="00045E9E">
        <w:t>Нижний</w:t>
      </w:r>
      <w:proofErr w:type="spellEnd"/>
      <w:r w:rsidRPr="00045E9E">
        <w:t xml:space="preserve"> Новгород, 2001</w:t>
      </w:r>
      <w:r w:rsidRPr="00045E9E">
        <w:rPr>
          <w:lang w:val="ru-RU"/>
        </w:rPr>
        <w:t xml:space="preserve">. - </w:t>
      </w:r>
      <w:r w:rsidRPr="00045E9E">
        <w:t xml:space="preserve"> 320 с.</w:t>
      </w:r>
    </w:p>
    <w:p w:rsidR="00A65A9B" w:rsidRPr="00045E9E" w:rsidRDefault="00A65A9B" w:rsidP="00A65A9B">
      <w:pPr>
        <w:numPr>
          <w:ilvl w:val="0"/>
          <w:numId w:val="3"/>
        </w:numPr>
        <w:rPr>
          <w:bCs/>
          <w:color w:val="000000"/>
          <w:lang w:val="ru-RU"/>
        </w:rPr>
      </w:pPr>
      <w:proofErr w:type="spellStart"/>
      <w:r w:rsidRPr="00045E9E">
        <w:rPr>
          <w:bCs/>
          <w:color w:val="000000"/>
          <w:lang w:val="ru-RU"/>
        </w:rPr>
        <w:t>Кашкин</w:t>
      </w:r>
      <w:proofErr w:type="spellEnd"/>
      <w:r w:rsidRPr="00045E9E">
        <w:rPr>
          <w:bCs/>
          <w:color w:val="000000"/>
          <w:lang w:val="ru-RU"/>
        </w:rPr>
        <w:t xml:space="preserve"> В.Б. Основы теории коммуникации. – М.: АСТ: Восток-Запад. – 2007. – 256 с.</w:t>
      </w:r>
    </w:p>
    <w:p w:rsidR="00A65A9B" w:rsidRPr="00045E9E" w:rsidRDefault="00A65A9B" w:rsidP="00A65A9B">
      <w:pPr>
        <w:numPr>
          <w:ilvl w:val="0"/>
          <w:numId w:val="3"/>
        </w:numPr>
        <w:rPr>
          <w:bCs/>
          <w:color w:val="000000"/>
        </w:rPr>
      </w:pPr>
      <w:proofErr w:type="spellStart"/>
      <w:r w:rsidRPr="00045E9E">
        <w:rPr>
          <w:bCs/>
          <w:color w:val="000000"/>
          <w:lang w:val="ru-RU"/>
        </w:rPr>
        <w:t>Манак</w:t>
      </w:r>
      <w:r w:rsidRPr="00045E9E">
        <w:rPr>
          <w:bCs/>
          <w:color w:val="000000"/>
        </w:rPr>
        <w:t>ін</w:t>
      </w:r>
      <w:proofErr w:type="spellEnd"/>
      <w:r w:rsidRPr="00045E9E">
        <w:rPr>
          <w:bCs/>
          <w:color w:val="000000"/>
        </w:rPr>
        <w:t xml:space="preserve"> В.М. Мова і міжкультурна комунікація</w:t>
      </w:r>
      <w:r w:rsidRPr="00045E9E">
        <w:rPr>
          <w:bCs/>
          <w:color w:val="000000"/>
          <w:lang w:val="ru-RU"/>
        </w:rPr>
        <w:t>: [</w:t>
      </w:r>
      <w:proofErr w:type="spellStart"/>
      <w:r w:rsidRPr="00045E9E">
        <w:rPr>
          <w:bCs/>
          <w:color w:val="000000"/>
        </w:rPr>
        <w:t>Навч</w:t>
      </w:r>
      <w:proofErr w:type="spellEnd"/>
      <w:r w:rsidRPr="00045E9E">
        <w:rPr>
          <w:bCs/>
          <w:color w:val="000000"/>
        </w:rPr>
        <w:t>. посібник</w:t>
      </w:r>
      <w:r w:rsidRPr="00045E9E">
        <w:rPr>
          <w:bCs/>
          <w:color w:val="000000"/>
          <w:lang w:val="ru-RU"/>
        </w:rPr>
        <w:t>]</w:t>
      </w:r>
      <w:r w:rsidRPr="00045E9E">
        <w:rPr>
          <w:bCs/>
          <w:color w:val="000000"/>
        </w:rPr>
        <w:t>. – К.:«Академія», 2012. – 288 с.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</w:rPr>
      </w:pPr>
      <w:r w:rsidRPr="00045E9E">
        <w:rPr>
          <w:bCs/>
          <w:color w:val="000000"/>
        </w:rPr>
        <w:t xml:space="preserve">Маслова В. А. </w:t>
      </w:r>
      <w:proofErr w:type="spellStart"/>
      <w:r w:rsidRPr="00045E9E">
        <w:rPr>
          <w:color w:val="000000"/>
        </w:rPr>
        <w:t>Лингвокультурология</w:t>
      </w:r>
      <w:proofErr w:type="spellEnd"/>
      <w:r w:rsidRPr="00045E9E">
        <w:rPr>
          <w:color w:val="000000"/>
        </w:rPr>
        <w:t xml:space="preserve"> - М.: </w:t>
      </w:r>
      <w:proofErr w:type="spellStart"/>
      <w:r w:rsidRPr="00045E9E">
        <w:rPr>
          <w:color w:val="000000"/>
        </w:rPr>
        <w:t>Издательский</w:t>
      </w:r>
      <w:proofErr w:type="spellEnd"/>
      <w:r w:rsidRPr="00045E9E">
        <w:rPr>
          <w:color w:val="000000"/>
        </w:rPr>
        <w:t xml:space="preserve"> центр «</w:t>
      </w:r>
      <w:proofErr w:type="spellStart"/>
      <w:r w:rsidRPr="00045E9E">
        <w:rPr>
          <w:color w:val="000000"/>
        </w:rPr>
        <w:t>Академия</w:t>
      </w:r>
      <w:proofErr w:type="spellEnd"/>
      <w:r w:rsidRPr="00045E9E">
        <w:rPr>
          <w:color w:val="000000"/>
        </w:rPr>
        <w:t>», 2001.</w:t>
      </w:r>
    </w:p>
    <w:p w:rsidR="00A65A9B" w:rsidRPr="00045E9E" w:rsidRDefault="00A65A9B" w:rsidP="00A65A9B">
      <w:pPr>
        <w:numPr>
          <w:ilvl w:val="0"/>
          <w:numId w:val="3"/>
        </w:numPr>
      </w:pPr>
      <w:proofErr w:type="spellStart"/>
      <w:r w:rsidRPr="00045E9E">
        <w:rPr>
          <w:bCs/>
        </w:rPr>
        <w:t>Почепцов</w:t>
      </w:r>
      <w:proofErr w:type="spellEnd"/>
      <w:r w:rsidRPr="00045E9E">
        <w:rPr>
          <w:bCs/>
        </w:rPr>
        <w:t xml:space="preserve"> Г.Г. </w:t>
      </w:r>
      <w:proofErr w:type="spellStart"/>
      <w:r w:rsidRPr="00045E9E">
        <w:t>Теория</w:t>
      </w:r>
      <w:proofErr w:type="spellEnd"/>
      <w:r w:rsidRPr="00045E9E">
        <w:t xml:space="preserve"> </w:t>
      </w:r>
      <w:proofErr w:type="spellStart"/>
      <w:r w:rsidRPr="00045E9E">
        <w:t>коммуникации</w:t>
      </w:r>
      <w:proofErr w:type="spellEnd"/>
      <w:r w:rsidRPr="00045E9E">
        <w:t xml:space="preserve"> —К.: «</w:t>
      </w:r>
      <w:proofErr w:type="spellStart"/>
      <w:r w:rsidRPr="00045E9E">
        <w:t>Ваклер</w:t>
      </w:r>
      <w:proofErr w:type="spellEnd"/>
      <w:r w:rsidRPr="00045E9E">
        <w:t>» — 2001. — 656 с.</w:t>
      </w:r>
    </w:p>
    <w:p w:rsidR="00A65A9B" w:rsidRPr="00045E9E" w:rsidRDefault="00A65A9B" w:rsidP="00A65A9B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045E9E">
        <w:rPr>
          <w:bCs/>
          <w:color w:val="000000"/>
        </w:rPr>
        <w:t>Садохин</w:t>
      </w:r>
      <w:proofErr w:type="spellEnd"/>
      <w:r w:rsidRPr="00045E9E">
        <w:rPr>
          <w:bCs/>
          <w:color w:val="000000"/>
        </w:rPr>
        <w:t xml:space="preserve"> А. П. </w:t>
      </w:r>
      <w:proofErr w:type="spellStart"/>
      <w:r w:rsidRPr="00045E9E">
        <w:rPr>
          <w:bCs/>
          <w:color w:val="000000"/>
        </w:rPr>
        <w:t>Межкультурная</w:t>
      </w:r>
      <w:proofErr w:type="spellEnd"/>
      <w:r w:rsidRPr="00045E9E">
        <w:rPr>
          <w:bCs/>
          <w:color w:val="000000"/>
        </w:rPr>
        <w:t xml:space="preserve"> </w:t>
      </w:r>
      <w:proofErr w:type="spellStart"/>
      <w:r w:rsidRPr="00045E9E">
        <w:rPr>
          <w:bCs/>
          <w:color w:val="000000"/>
        </w:rPr>
        <w:t>коммуникация</w:t>
      </w:r>
      <w:proofErr w:type="spellEnd"/>
      <w:r w:rsidRPr="00045E9E">
        <w:rPr>
          <w:bCs/>
          <w:color w:val="000000"/>
        </w:rPr>
        <w:t xml:space="preserve"> : [</w:t>
      </w:r>
      <w:proofErr w:type="spellStart"/>
      <w:r w:rsidRPr="00045E9E">
        <w:rPr>
          <w:bCs/>
          <w:color w:val="000000"/>
        </w:rPr>
        <w:t>учеб</w:t>
      </w:r>
      <w:proofErr w:type="spellEnd"/>
      <w:r w:rsidRPr="00045E9E">
        <w:rPr>
          <w:bCs/>
          <w:color w:val="000000"/>
        </w:rPr>
        <w:t xml:space="preserve">. пособ.] – М. : </w:t>
      </w:r>
      <w:proofErr w:type="spellStart"/>
      <w:r w:rsidRPr="00045E9E">
        <w:rPr>
          <w:bCs/>
          <w:color w:val="000000"/>
        </w:rPr>
        <w:t>Гардарики</w:t>
      </w:r>
      <w:proofErr w:type="spellEnd"/>
      <w:r w:rsidRPr="00045E9E">
        <w:rPr>
          <w:bCs/>
          <w:color w:val="000000"/>
        </w:rPr>
        <w:t xml:space="preserve">, 2006. – 266 с.  </w:t>
      </w:r>
    </w:p>
    <w:p w:rsidR="00A65A9B" w:rsidRPr="00045E9E" w:rsidRDefault="00A65A9B" w:rsidP="00A65A9B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045E9E">
        <w:rPr>
          <w:bCs/>
          <w:color w:val="000000"/>
        </w:rPr>
        <w:t>Тер-Минасова</w:t>
      </w:r>
      <w:proofErr w:type="spellEnd"/>
      <w:r w:rsidRPr="00045E9E">
        <w:rPr>
          <w:bCs/>
          <w:color w:val="000000"/>
        </w:rPr>
        <w:t xml:space="preserve"> С.Г.   </w:t>
      </w:r>
      <w:proofErr w:type="spellStart"/>
      <w:r w:rsidRPr="00045E9E">
        <w:rPr>
          <w:color w:val="000000"/>
        </w:rPr>
        <w:t>Язык</w:t>
      </w:r>
      <w:proofErr w:type="spellEnd"/>
      <w:r w:rsidRPr="00045E9E">
        <w:rPr>
          <w:color w:val="000000"/>
        </w:rPr>
        <w:t xml:space="preserve"> и </w:t>
      </w:r>
      <w:proofErr w:type="spellStart"/>
      <w:r w:rsidRPr="00045E9E">
        <w:rPr>
          <w:color w:val="000000"/>
        </w:rPr>
        <w:t>межкультурная</w:t>
      </w:r>
      <w:proofErr w:type="spellEnd"/>
      <w:r w:rsidRPr="00045E9E">
        <w:rPr>
          <w:color w:val="000000"/>
        </w:rPr>
        <w:t xml:space="preserve"> </w:t>
      </w:r>
      <w:proofErr w:type="spellStart"/>
      <w:r w:rsidRPr="00045E9E">
        <w:rPr>
          <w:color w:val="000000"/>
        </w:rPr>
        <w:t>коммуникация</w:t>
      </w:r>
      <w:proofErr w:type="spellEnd"/>
      <w:r w:rsidRPr="00045E9E">
        <w:rPr>
          <w:color w:val="000000"/>
        </w:rPr>
        <w:t>. - М.: Слово, 2000</w:t>
      </w:r>
      <w:r w:rsidRPr="00045E9E">
        <w:rPr>
          <w:color w:val="000000"/>
          <w:lang w:val="ru-RU"/>
        </w:rPr>
        <w:t xml:space="preserve">. - </w:t>
      </w:r>
      <w:r w:rsidRPr="00045E9E">
        <w:rPr>
          <w:color w:val="000000"/>
        </w:rPr>
        <w:t>264 с.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ru-RU"/>
        </w:rPr>
      </w:pPr>
      <w:proofErr w:type="spellStart"/>
      <w:r w:rsidRPr="00045E9E">
        <w:rPr>
          <w:color w:val="000000"/>
        </w:rPr>
        <w:t>Тер-Минасова</w:t>
      </w:r>
      <w:proofErr w:type="spellEnd"/>
      <w:r w:rsidRPr="00045E9E">
        <w:rPr>
          <w:color w:val="000000"/>
        </w:rPr>
        <w:t xml:space="preserve">  С.  Г.  </w:t>
      </w:r>
      <w:proofErr w:type="spellStart"/>
      <w:r w:rsidRPr="00045E9E">
        <w:rPr>
          <w:color w:val="000000"/>
        </w:rPr>
        <w:t>Война</w:t>
      </w:r>
      <w:proofErr w:type="spellEnd"/>
      <w:r w:rsidRPr="00045E9E">
        <w:rPr>
          <w:color w:val="000000"/>
        </w:rPr>
        <w:t xml:space="preserve">  и  мир  </w:t>
      </w:r>
      <w:proofErr w:type="spellStart"/>
      <w:r w:rsidRPr="00045E9E">
        <w:rPr>
          <w:color w:val="000000"/>
        </w:rPr>
        <w:t>языков</w:t>
      </w:r>
      <w:proofErr w:type="spellEnd"/>
      <w:r w:rsidRPr="00045E9E">
        <w:rPr>
          <w:color w:val="000000"/>
        </w:rPr>
        <w:t xml:space="preserve">  и  культур. –  М. : Слово, 2008. – 334 с.  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</w:rPr>
      </w:pPr>
      <w:proofErr w:type="spellStart"/>
      <w:r w:rsidRPr="00045E9E">
        <w:rPr>
          <w:color w:val="000000"/>
        </w:rPr>
        <w:t>Холл</w:t>
      </w:r>
      <w:proofErr w:type="spellEnd"/>
      <w:r w:rsidRPr="00045E9E">
        <w:rPr>
          <w:color w:val="000000"/>
        </w:rPr>
        <w:t xml:space="preserve"> Э. </w:t>
      </w:r>
      <w:proofErr w:type="spellStart"/>
      <w:r w:rsidRPr="00045E9E">
        <w:rPr>
          <w:color w:val="000000"/>
        </w:rPr>
        <w:t>Как</w:t>
      </w:r>
      <w:proofErr w:type="spellEnd"/>
      <w:r w:rsidRPr="00045E9E">
        <w:rPr>
          <w:color w:val="000000"/>
        </w:rPr>
        <w:t xml:space="preserve"> понять </w:t>
      </w:r>
      <w:proofErr w:type="spellStart"/>
      <w:r w:rsidRPr="00045E9E">
        <w:rPr>
          <w:color w:val="000000"/>
        </w:rPr>
        <w:t>иностранца</w:t>
      </w:r>
      <w:proofErr w:type="spellEnd"/>
      <w:r w:rsidRPr="00045E9E">
        <w:rPr>
          <w:color w:val="000000"/>
        </w:rPr>
        <w:t xml:space="preserve"> без </w:t>
      </w:r>
      <w:proofErr w:type="spellStart"/>
      <w:r w:rsidRPr="00045E9E">
        <w:rPr>
          <w:color w:val="000000"/>
        </w:rPr>
        <w:t>слов</w:t>
      </w:r>
      <w:proofErr w:type="spellEnd"/>
      <w:r w:rsidRPr="00045E9E">
        <w:rPr>
          <w:color w:val="000000"/>
        </w:rPr>
        <w:t xml:space="preserve"> // Дж. Фаст. </w:t>
      </w:r>
      <w:proofErr w:type="spellStart"/>
      <w:r w:rsidRPr="00045E9E">
        <w:rPr>
          <w:color w:val="000000"/>
        </w:rPr>
        <w:t>Язык</w:t>
      </w:r>
      <w:proofErr w:type="spellEnd"/>
      <w:r w:rsidRPr="00045E9E">
        <w:rPr>
          <w:color w:val="000000"/>
        </w:rPr>
        <w:t xml:space="preserve"> </w:t>
      </w:r>
      <w:proofErr w:type="spellStart"/>
      <w:r w:rsidRPr="00045E9E">
        <w:rPr>
          <w:color w:val="000000"/>
        </w:rPr>
        <w:t>тела</w:t>
      </w:r>
      <w:proofErr w:type="spellEnd"/>
      <w:r w:rsidRPr="00045E9E">
        <w:rPr>
          <w:color w:val="000000"/>
        </w:rPr>
        <w:t xml:space="preserve"> / Пер. с англ. М., 1997 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ru-RU"/>
        </w:rPr>
      </w:pPr>
      <w:r w:rsidRPr="00045E9E">
        <w:rPr>
          <w:color w:val="000000"/>
        </w:rPr>
        <w:t xml:space="preserve">Якобсон Р.О. </w:t>
      </w:r>
      <w:proofErr w:type="spellStart"/>
      <w:r w:rsidRPr="00045E9E">
        <w:rPr>
          <w:color w:val="000000"/>
        </w:rPr>
        <w:t>Речевая</w:t>
      </w:r>
      <w:proofErr w:type="spellEnd"/>
      <w:r w:rsidRPr="00045E9E">
        <w:rPr>
          <w:color w:val="000000"/>
        </w:rPr>
        <w:t xml:space="preserve"> </w:t>
      </w:r>
      <w:proofErr w:type="spellStart"/>
      <w:r w:rsidRPr="00045E9E">
        <w:rPr>
          <w:color w:val="000000"/>
        </w:rPr>
        <w:t>коммуникация</w:t>
      </w:r>
      <w:proofErr w:type="spellEnd"/>
      <w:r w:rsidRPr="00045E9E">
        <w:rPr>
          <w:color w:val="000000"/>
        </w:rPr>
        <w:t xml:space="preserve">; </w:t>
      </w:r>
      <w:proofErr w:type="spellStart"/>
      <w:r w:rsidRPr="00045E9E">
        <w:rPr>
          <w:color w:val="000000"/>
        </w:rPr>
        <w:t>Язык</w:t>
      </w:r>
      <w:proofErr w:type="spellEnd"/>
      <w:r w:rsidRPr="00045E9E">
        <w:rPr>
          <w:color w:val="000000"/>
        </w:rPr>
        <w:t xml:space="preserve"> в </w:t>
      </w:r>
      <w:proofErr w:type="spellStart"/>
      <w:r w:rsidRPr="00045E9E">
        <w:rPr>
          <w:color w:val="000000"/>
        </w:rPr>
        <w:t>отношени</w:t>
      </w:r>
      <w:proofErr w:type="spellEnd"/>
      <w:r w:rsidRPr="00045E9E">
        <w:rPr>
          <w:color w:val="000000"/>
          <w:lang w:val="ru-RU"/>
        </w:rPr>
        <w:t>и к другим системам коммуникации//Избранные работы. – М.: Прогресс, 1985.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proofErr w:type="spellStart"/>
      <w:r w:rsidRPr="00045E9E">
        <w:rPr>
          <w:color w:val="000000"/>
          <w:lang w:val="en-US"/>
        </w:rPr>
        <w:t>Dimbleby</w:t>
      </w:r>
      <w:proofErr w:type="spellEnd"/>
      <w:r w:rsidRPr="00045E9E">
        <w:rPr>
          <w:color w:val="000000"/>
        </w:rPr>
        <w:t xml:space="preserve">, </w:t>
      </w:r>
      <w:r w:rsidRPr="00045E9E">
        <w:rPr>
          <w:color w:val="000000"/>
          <w:lang w:val="en-US"/>
        </w:rPr>
        <w:t>R</w:t>
      </w:r>
      <w:r w:rsidRPr="00045E9E">
        <w:rPr>
          <w:color w:val="000000"/>
        </w:rPr>
        <w:t xml:space="preserve">., </w:t>
      </w:r>
      <w:r w:rsidRPr="00045E9E">
        <w:rPr>
          <w:color w:val="000000"/>
          <w:lang w:val="en-US"/>
        </w:rPr>
        <w:t>Burton</w:t>
      </w:r>
      <w:r w:rsidRPr="00045E9E">
        <w:rPr>
          <w:color w:val="000000"/>
        </w:rPr>
        <w:t xml:space="preserve">, </w:t>
      </w:r>
      <w:r w:rsidRPr="00045E9E">
        <w:rPr>
          <w:color w:val="000000"/>
          <w:lang w:val="en-US"/>
        </w:rPr>
        <w:t>G</w:t>
      </w:r>
      <w:r w:rsidRPr="00045E9E">
        <w:rPr>
          <w:color w:val="000000"/>
        </w:rPr>
        <w:t xml:space="preserve">. </w:t>
      </w:r>
      <w:r w:rsidRPr="00045E9E">
        <w:rPr>
          <w:color w:val="000000"/>
          <w:lang w:val="en-US"/>
        </w:rPr>
        <w:t>More</w:t>
      </w:r>
      <w:r w:rsidRPr="00045E9E">
        <w:rPr>
          <w:color w:val="000000"/>
        </w:rPr>
        <w:t xml:space="preserve"> </w:t>
      </w:r>
      <w:r w:rsidRPr="00045E9E">
        <w:rPr>
          <w:color w:val="000000"/>
          <w:lang w:val="en-US"/>
        </w:rPr>
        <w:t>Than</w:t>
      </w:r>
      <w:r w:rsidRPr="00045E9E">
        <w:rPr>
          <w:color w:val="000000"/>
        </w:rPr>
        <w:t xml:space="preserve"> </w:t>
      </w:r>
      <w:r w:rsidRPr="00045E9E">
        <w:rPr>
          <w:color w:val="000000"/>
          <w:lang w:val="en-US"/>
        </w:rPr>
        <w:t>Words</w:t>
      </w:r>
      <w:r w:rsidRPr="00045E9E">
        <w:rPr>
          <w:color w:val="000000"/>
        </w:rPr>
        <w:t xml:space="preserve">. </w:t>
      </w:r>
      <w:r w:rsidRPr="00045E9E">
        <w:rPr>
          <w:color w:val="000000"/>
          <w:lang w:val="en-US"/>
        </w:rPr>
        <w:t>An Introduction to Communication. – L.; N.Y., 1998.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Fiske, J. Introduction to Communication Studies. – N.Y.: Routledge, 2002.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 xml:space="preserve">Gannon, M. Understanding Global Cultures. Metaphorical Journeys through 23 nations. – </w:t>
      </w:r>
      <w:proofErr w:type="spellStart"/>
      <w:r w:rsidRPr="00045E9E">
        <w:rPr>
          <w:color w:val="000000"/>
          <w:lang w:val="en-US"/>
        </w:rPr>
        <w:t>Thopusand</w:t>
      </w:r>
      <w:proofErr w:type="spellEnd"/>
      <w:r w:rsidRPr="00045E9E">
        <w:rPr>
          <w:color w:val="000000"/>
          <w:lang w:val="en-US"/>
        </w:rPr>
        <w:t xml:space="preserve"> Oaks, CA: sage, 2001.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Hall, E. Beyond Culture. – N.Y.: Doubleday, 2981.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Hofstede, G. Culture’s Consequences. – Beverly Hills, CA: Sage. – 1980.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Huber-</w:t>
      </w:r>
      <w:proofErr w:type="spellStart"/>
      <w:r w:rsidRPr="00045E9E">
        <w:rPr>
          <w:color w:val="000000"/>
          <w:lang w:val="en-US"/>
        </w:rPr>
        <w:t>Kriegler</w:t>
      </w:r>
      <w:proofErr w:type="spellEnd"/>
      <w:r w:rsidRPr="00045E9E">
        <w:rPr>
          <w:color w:val="000000"/>
          <w:lang w:val="en-US"/>
        </w:rPr>
        <w:t>, M., Lazar, I., Strange, J. Mirrors and Windows. An Intercultural Communication textbook. – European Centre for Modern languages. – Graz: Council of Europe Publishing, 2003.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McLuhan, M. Essential McLuhan – N.Y.: Basic Books, 2995.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</w:rPr>
      </w:pPr>
      <w:r w:rsidRPr="00045E9E">
        <w:rPr>
          <w:color w:val="000000"/>
          <w:lang w:val="en-US"/>
        </w:rPr>
        <w:t xml:space="preserve">Samovar L., Porter R. Communication Between Cultures. </w:t>
      </w:r>
      <w:r w:rsidRPr="00045E9E">
        <w:rPr>
          <w:color w:val="000000"/>
        </w:rPr>
        <w:t xml:space="preserve">- </w:t>
      </w:r>
      <w:r w:rsidRPr="00045E9E">
        <w:rPr>
          <w:color w:val="000000"/>
          <w:lang w:val="en-US"/>
        </w:rPr>
        <w:t>Belmont</w:t>
      </w:r>
      <w:r w:rsidRPr="00045E9E">
        <w:rPr>
          <w:color w:val="000000"/>
        </w:rPr>
        <w:t xml:space="preserve">, </w:t>
      </w:r>
      <w:r w:rsidRPr="00045E9E">
        <w:rPr>
          <w:color w:val="000000"/>
          <w:lang w:val="en-US"/>
        </w:rPr>
        <w:t>CA</w:t>
      </w:r>
      <w:r w:rsidRPr="00045E9E">
        <w:rPr>
          <w:color w:val="000000"/>
        </w:rPr>
        <w:t xml:space="preserve">., 1998. </w:t>
      </w:r>
    </w:p>
    <w:p w:rsidR="00A65A9B" w:rsidRPr="00045E9E" w:rsidRDefault="00A65A9B" w:rsidP="00A65A9B">
      <w:pPr>
        <w:numPr>
          <w:ilvl w:val="0"/>
          <w:numId w:val="3"/>
        </w:numPr>
        <w:rPr>
          <w:color w:val="000000"/>
          <w:lang w:val="en-US"/>
        </w:rPr>
      </w:pPr>
      <w:r w:rsidRPr="00045E9E">
        <w:rPr>
          <w:color w:val="000000"/>
          <w:lang w:val="en-US"/>
        </w:rPr>
        <w:t>Samovar, L., Porter, R</w:t>
      </w:r>
      <w:proofErr w:type="gramStart"/>
      <w:r w:rsidRPr="00045E9E">
        <w:rPr>
          <w:color w:val="000000"/>
          <w:lang w:val="en-US"/>
        </w:rPr>
        <w:t>. ,</w:t>
      </w:r>
      <w:proofErr w:type="gramEnd"/>
      <w:r w:rsidRPr="00045E9E">
        <w:rPr>
          <w:color w:val="000000"/>
          <w:lang w:val="en-US"/>
        </w:rPr>
        <w:t xml:space="preserve"> McDaniel, E. Using Intercultural Communication.</w:t>
      </w:r>
      <w:r w:rsidRPr="00045E9E">
        <w:t xml:space="preserve"> </w:t>
      </w:r>
      <w:r w:rsidRPr="00045E9E">
        <w:rPr>
          <w:color w:val="000000"/>
          <w:lang w:val="en-US"/>
        </w:rPr>
        <w:t>A reader (13th Ed.). - Boston, MA: Wadsworth Cengage. – 2012.</w:t>
      </w:r>
    </w:p>
    <w:p w:rsidR="00A65A9B" w:rsidRPr="00045E9E" w:rsidRDefault="00A65A9B" w:rsidP="00A65A9B"/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r w:rsidRPr="00045E9E">
        <w:rPr>
          <w:b/>
          <w:i/>
        </w:rPr>
        <w:t xml:space="preserve">Форми та  методи навчання: лекції, самостійна робота </w:t>
      </w:r>
      <w:r w:rsidRPr="00045E9E">
        <w:t xml:space="preserve">(опрацювання  окремих тем згідно з навчально-тематичним планом)                </w:t>
      </w: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pStyle w:val="3"/>
        <w:numPr>
          <w:ilvl w:val="0"/>
          <w:numId w:val="1"/>
        </w:numPr>
        <w:jc w:val="left"/>
        <w:rPr>
          <w:sz w:val="24"/>
        </w:rPr>
      </w:pPr>
      <w:r w:rsidRPr="00045E9E">
        <w:rPr>
          <w:sz w:val="24"/>
        </w:rPr>
        <w:t>Форма підсумкового контролю успішності навчання:</w:t>
      </w:r>
    </w:p>
    <w:p w:rsidR="00A65A9B" w:rsidRPr="00045E9E" w:rsidRDefault="00A65A9B" w:rsidP="00A65A9B">
      <w:pPr>
        <w:ind w:left="540"/>
        <w:jc w:val="both"/>
      </w:pPr>
      <w:r w:rsidRPr="00045E9E">
        <w:t xml:space="preserve">залікова. Підсумковий контроль проводиться у формі заліку (1/9 семестр): письмовий залік з  урахуванням загального рейтингу за семестр, який включає сумарну оцінку за відвідування лекцій та самостійну роботу студента. </w:t>
      </w:r>
    </w:p>
    <w:p w:rsidR="00A65A9B" w:rsidRPr="00045E9E" w:rsidRDefault="00A65A9B" w:rsidP="00A65A9B">
      <w:pPr>
        <w:jc w:val="both"/>
      </w:pP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rPr>
          <w:b/>
          <w:i/>
        </w:rPr>
      </w:pPr>
    </w:p>
    <w:p w:rsidR="00A65A9B" w:rsidRPr="00045E9E" w:rsidRDefault="00A65A9B" w:rsidP="00A65A9B">
      <w:pPr>
        <w:pStyle w:val="aa"/>
        <w:numPr>
          <w:ilvl w:val="0"/>
          <w:numId w:val="5"/>
        </w:numPr>
        <w:shd w:val="clear" w:color="auto" w:fill="FFFFFF"/>
        <w:jc w:val="center"/>
      </w:pPr>
      <w:r w:rsidRPr="00045E9E">
        <w:t>КРИТЕРІЇ УСПІШНОСТІ</w:t>
      </w:r>
    </w:p>
    <w:p w:rsidR="00A65A9B" w:rsidRPr="00045E9E" w:rsidRDefault="00A65A9B" w:rsidP="00A65A9B">
      <w:pPr>
        <w:shd w:val="clear" w:color="auto" w:fill="FFFFFF"/>
        <w:jc w:val="both"/>
      </w:pPr>
      <w:r w:rsidRPr="00045E9E">
        <w:t xml:space="preserve">                  1) «5» - студент повністю засвоїв матеріал курсу, успішно застосовує теоретичні знання та практичні навички під час усної дискусії та письмового опитування (залік);</w:t>
      </w:r>
    </w:p>
    <w:p w:rsidR="00A65A9B" w:rsidRPr="00045E9E" w:rsidRDefault="00A65A9B" w:rsidP="00A65A9B">
      <w:pPr>
        <w:shd w:val="clear" w:color="auto" w:fill="FFFFFF"/>
        <w:jc w:val="both"/>
      </w:pPr>
      <w:r w:rsidRPr="00045E9E">
        <w:t xml:space="preserve">                  2) «4» -  студент демонструє добре знання матеріалу курсу;</w:t>
      </w:r>
    </w:p>
    <w:p w:rsidR="00A65A9B" w:rsidRPr="00045E9E" w:rsidRDefault="00A65A9B" w:rsidP="00A65A9B">
      <w:pPr>
        <w:shd w:val="clear" w:color="auto" w:fill="FFFFFF"/>
        <w:jc w:val="both"/>
      </w:pPr>
      <w:r w:rsidRPr="00045E9E">
        <w:t xml:space="preserve">                  3) «3» - студент засвоїв основи курсу, але виказує труднощі під час самостійного відтворення матеріалу та потребує допомоги викладача, його додаткових уточнюючих запитань, на які дає невпевнені та не завжди вірні відповіді;</w:t>
      </w:r>
    </w:p>
    <w:p w:rsidR="00A65A9B" w:rsidRPr="00045E9E" w:rsidRDefault="00A65A9B" w:rsidP="00A65A9B">
      <w:pPr>
        <w:shd w:val="clear" w:color="auto" w:fill="FFFFFF"/>
        <w:jc w:val="both"/>
      </w:pPr>
      <w:r w:rsidRPr="00045E9E">
        <w:t xml:space="preserve">                  4)  «2» - не володіє матеріалом.</w:t>
      </w:r>
    </w:p>
    <w:p w:rsidR="00A65A9B" w:rsidRPr="00045E9E" w:rsidRDefault="00A65A9B" w:rsidP="00A65A9B">
      <w:pPr>
        <w:shd w:val="clear" w:color="auto" w:fill="FFFFFF"/>
        <w:jc w:val="both"/>
      </w:pPr>
    </w:p>
    <w:p w:rsidR="00A65A9B" w:rsidRPr="00045E9E" w:rsidRDefault="00A65A9B" w:rsidP="00A65A9B">
      <w:pPr>
        <w:shd w:val="clear" w:color="auto" w:fill="FFFFFF"/>
        <w:jc w:val="both"/>
      </w:pPr>
    </w:p>
    <w:p w:rsidR="00A65A9B" w:rsidRPr="00045E9E" w:rsidRDefault="00A65A9B" w:rsidP="00A65A9B">
      <w:pPr>
        <w:numPr>
          <w:ilvl w:val="0"/>
          <w:numId w:val="5"/>
        </w:numPr>
        <w:shd w:val="clear" w:color="auto" w:fill="FFFFFF"/>
        <w:jc w:val="center"/>
      </w:pPr>
      <w:r w:rsidRPr="00045E9E">
        <w:t>ЗАСОБИ ДІАГНОСТИКИ УСПІШНОСТІ НАВЧАННЯ</w:t>
      </w:r>
    </w:p>
    <w:p w:rsidR="00A65A9B" w:rsidRPr="00045E9E" w:rsidRDefault="00A65A9B" w:rsidP="00A65A9B">
      <w:pPr>
        <w:shd w:val="clear" w:color="auto" w:fill="FFFFFF"/>
        <w:ind w:left="360"/>
      </w:pPr>
      <w:r w:rsidRPr="00045E9E">
        <w:t>Комплекс тестових завдань на залік із 25 питань (2 варіанти).</w:t>
      </w:r>
    </w:p>
    <w:p w:rsidR="00A65A9B" w:rsidRPr="00045E9E" w:rsidRDefault="00A65A9B" w:rsidP="00A65A9B">
      <w:pPr>
        <w:jc w:val="center"/>
        <w:rPr>
          <w:b/>
        </w:rPr>
      </w:pPr>
      <w:r w:rsidRPr="00045E9E">
        <w:rPr>
          <w:b/>
        </w:rPr>
        <w:t xml:space="preserve">Зразки </w:t>
      </w:r>
      <w:r>
        <w:rPr>
          <w:b/>
        </w:rPr>
        <w:t>завдань</w:t>
      </w:r>
      <w:r w:rsidRPr="00045E9E">
        <w:rPr>
          <w:b/>
        </w:rPr>
        <w:t xml:space="preserve"> залікової контрольної роботи: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Communication is</w:t>
      </w:r>
    </w:p>
    <w:p w:rsidR="00A65A9B" w:rsidRPr="00045E9E" w:rsidRDefault="00A65A9B" w:rsidP="00A65A9B">
      <w:pPr>
        <w:pStyle w:val="aa"/>
        <w:numPr>
          <w:ilvl w:val="0"/>
          <w:numId w:val="8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A theory   b. a multi-disciplinary area of study   c. an information theory   d. a verbal exchange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The author of the famous maxim “Who says what to whom” used as a means of circumscribing the field of communication is</w:t>
      </w:r>
    </w:p>
    <w:p w:rsidR="00A65A9B" w:rsidRPr="00045E9E" w:rsidRDefault="00A65A9B" w:rsidP="00A65A9B">
      <w:pPr>
        <w:pStyle w:val="aa"/>
        <w:numPr>
          <w:ilvl w:val="0"/>
          <w:numId w:val="9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 xml:space="preserve">K. Popper    b. M. Bakhtin   c. H. </w:t>
      </w:r>
      <w:proofErr w:type="spellStart"/>
      <w:r w:rsidRPr="00045E9E">
        <w:rPr>
          <w:lang w:val="en-US"/>
        </w:rPr>
        <w:t>Lasswell</w:t>
      </w:r>
      <w:proofErr w:type="spellEnd"/>
      <w:r w:rsidRPr="00045E9E">
        <w:rPr>
          <w:lang w:val="en-US"/>
        </w:rPr>
        <w:t xml:space="preserve">   d. </w:t>
      </w:r>
      <w:proofErr w:type="spellStart"/>
      <w:r w:rsidRPr="00045E9E">
        <w:rPr>
          <w:lang w:val="en-US"/>
        </w:rPr>
        <w:t>J.Fiske</w:t>
      </w:r>
      <w:proofErr w:type="spellEnd"/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Kinesics refers to</w:t>
      </w:r>
    </w:p>
    <w:p w:rsidR="00A65A9B" w:rsidRPr="00045E9E" w:rsidRDefault="00A65A9B" w:rsidP="00A65A9B">
      <w:pPr>
        <w:pStyle w:val="aa"/>
        <w:numPr>
          <w:ilvl w:val="0"/>
          <w:numId w:val="10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verbal codes   b. structure of time   c. olfaction   d. body language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Who is considered to be “the father of information theory”?</w:t>
      </w:r>
    </w:p>
    <w:p w:rsidR="00A65A9B" w:rsidRPr="00045E9E" w:rsidRDefault="00A65A9B" w:rsidP="00A65A9B">
      <w:pPr>
        <w:pStyle w:val="aa"/>
        <w:numPr>
          <w:ilvl w:val="0"/>
          <w:numId w:val="11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C.E. Shannon  b. W. Weaver    c. E. Hall   d. H. M. McLuhan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The physical means by which the signal is transmitted is called</w:t>
      </w:r>
    </w:p>
    <w:p w:rsidR="00A65A9B" w:rsidRPr="00045E9E" w:rsidRDefault="00A65A9B" w:rsidP="00A65A9B">
      <w:pPr>
        <w:pStyle w:val="aa"/>
        <w:numPr>
          <w:ilvl w:val="0"/>
          <w:numId w:val="12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A channel    b. a code   c. a medium   d. a text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Who is the author of the famous expressions “the medium is the message” and “the global village”?</w:t>
      </w:r>
    </w:p>
    <w:p w:rsidR="00A65A9B" w:rsidRPr="00045E9E" w:rsidRDefault="00A65A9B" w:rsidP="00A65A9B">
      <w:pPr>
        <w:pStyle w:val="aa"/>
        <w:numPr>
          <w:ilvl w:val="0"/>
          <w:numId w:val="13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E. Hall   b. H.M. McLuhan   c. C.E. Shannon   d. N. Wiener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What helps communicators adjust their messages to the needs and responses of the receiver?</w:t>
      </w:r>
    </w:p>
    <w:p w:rsidR="00A65A9B" w:rsidRPr="00045E9E" w:rsidRDefault="00A65A9B" w:rsidP="00A65A9B">
      <w:pPr>
        <w:pStyle w:val="aa"/>
        <w:numPr>
          <w:ilvl w:val="0"/>
          <w:numId w:val="14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Feedback   b. the channel    c. the encoder   d. the decoder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 xml:space="preserve">…… is often divided into three branches – </w:t>
      </w:r>
      <w:proofErr w:type="gramStart"/>
      <w:r w:rsidRPr="00045E9E">
        <w:rPr>
          <w:lang w:val="en-US"/>
        </w:rPr>
        <w:t>semantics ,</w:t>
      </w:r>
      <w:proofErr w:type="gramEnd"/>
      <w:r w:rsidRPr="00045E9E">
        <w:rPr>
          <w:lang w:val="en-US"/>
        </w:rPr>
        <w:t xml:space="preserve"> </w:t>
      </w:r>
      <w:proofErr w:type="spellStart"/>
      <w:r w:rsidRPr="00045E9E">
        <w:rPr>
          <w:lang w:val="en-US"/>
        </w:rPr>
        <w:t>syntactics</w:t>
      </w:r>
      <w:proofErr w:type="spellEnd"/>
      <w:r w:rsidRPr="00045E9E">
        <w:rPr>
          <w:lang w:val="en-US"/>
        </w:rPr>
        <w:t xml:space="preserve"> , and pragmatics.</w:t>
      </w:r>
    </w:p>
    <w:p w:rsidR="00A65A9B" w:rsidRPr="00045E9E" w:rsidRDefault="00A65A9B" w:rsidP="00A65A9B">
      <w:pPr>
        <w:pStyle w:val="aa"/>
        <w:numPr>
          <w:ilvl w:val="0"/>
          <w:numId w:val="15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Linguistics   b. stylistics    c. semiotics    d. grammar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….. constitute the shared centre of any culture’s experience.</w:t>
      </w:r>
    </w:p>
    <w:p w:rsidR="00A65A9B" w:rsidRPr="00045E9E" w:rsidRDefault="00A65A9B" w:rsidP="00A65A9B">
      <w:pPr>
        <w:pStyle w:val="aa"/>
        <w:numPr>
          <w:ilvl w:val="0"/>
          <w:numId w:val="16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Codes and conventions   b. rules    c. information sources   d. mass media</w:t>
      </w:r>
    </w:p>
    <w:p w:rsidR="00A65A9B" w:rsidRPr="00045E9E" w:rsidRDefault="00A65A9B" w:rsidP="00A65A9B">
      <w:pPr>
        <w:pStyle w:val="aa"/>
        <w:numPr>
          <w:ilvl w:val="0"/>
          <w:numId w:val="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 xml:space="preserve"> A chief manager’s talk to his employees is a type of ……. communication.</w:t>
      </w:r>
    </w:p>
    <w:p w:rsidR="00A65A9B" w:rsidRPr="00045E9E" w:rsidRDefault="00A65A9B" w:rsidP="00A65A9B">
      <w:pPr>
        <w:pStyle w:val="aa"/>
        <w:numPr>
          <w:ilvl w:val="0"/>
          <w:numId w:val="17"/>
        </w:numPr>
        <w:spacing w:after="200" w:line="276" w:lineRule="auto"/>
        <w:rPr>
          <w:lang w:val="en-US"/>
        </w:rPr>
      </w:pPr>
      <w:r w:rsidRPr="00045E9E">
        <w:rPr>
          <w:lang w:val="en-US"/>
        </w:rPr>
        <w:t>Mass    b. group   c. intrapersonal    d. interpersonal</w:t>
      </w:r>
    </w:p>
    <w:p w:rsidR="00A65A9B" w:rsidRPr="00045E9E" w:rsidRDefault="00A65A9B" w:rsidP="00A65A9B">
      <w:pPr>
        <w:jc w:val="center"/>
        <w:rPr>
          <w:b/>
          <w:lang w:val="en-US"/>
        </w:rPr>
      </w:pPr>
    </w:p>
    <w:p w:rsidR="00A65A9B" w:rsidRPr="00045E9E" w:rsidRDefault="00A65A9B" w:rsidP="00A65A9B">
      <w:pPr>
        <w:rPr>
          <w:b/>
          <w:u w:val="single"/>
        </w:rPr>
      </w:pPr>
    </w:p>
    <w:p w:rsidR="00A65A9B" w:rsidRDefault="00A65A9B" w:rsidP="00A65A9B"/>
    <w:p w:rsidR="008933D0" w:rsidRDefault="008933D0">
      <w:bookmarkStart w:id="0" w:name="_GoBack"/>
      <w:bookmarkEnd w:id="0"/>
    </w:p>
    <w:sectPr w:rsidR="008933D0" w:rsidSect="00087882"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F" w:rsidRDefault="0070439F">
      <w:r>
        <w:separator/>
      </w:r>
    </w:p>
  </w:endnote>
  <w:endnote w:type="continuationSeparator" w:id="0">
    <w:p w:rsidR="0070439F" w:rsidRDefault="0070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34" w:rsidRDefault="00A156C2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5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634" w:rsidRDefault="007043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34" w:rsidRDefault="0070439F" w:rsidP="00C72687">
    <w:pPr>
      <w:pStyle w:val="a5"/>
      <w:framePr w:wrap="around" w:vAnchor="text" w:hAnchor="margin" w:xAlign="center" w:y="1"/>
      <w:rPr>
        <w:rStyle w:val="a7"/>
      </w:rPr>
    </w:pPr>
  </w:p>
  <w:p w:rsidR="00396634" w:rsidRDefault="0070439F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F" w:rsidRDefault="0070439F">
      <w:r>
        <w:separator/>
      </w:r>
    </w:p>
  </w:footnote>
  <w:footnote w:type="continuationSeparator" w:id="0">
    <w:p w:rsidR="0070439F" w:rsidRDefault="0070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34" w:rsidRDefault="00A156C2">
    <w:pPr>
      <w:pStyle w:val="a8"/>
      <w:jc w:val="center"/>
    </w:pPr>
    <w:r>
      <w:fldChar w:fldCharType="begin"/>
    </w:r>
    <w:r w:rsidR="00325F28">
      <w:instrText xml:space="preserve"> PAGE   \* MERGEFORMAT </w:instrText>
    </w:r>
    <w:r>
      <w:fldChar w:fldCharType="separate"/>
    </w:r>
    <w:r w:rsidR="003827CF">
      <w:rPr>
        <w:noProof/>
      </w:rPr>
      <w:t>2</w:t>
    </w:r>
    <w:r>
      <w:fldChar w:fldCharType="end"/>
    </w:r>
  </w:p>
  <w:p w:rsidR="00396634" w:rsidRDefault="00704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21E"/>
    <w:multiLevelType w:val="hybridMultilevel"/>
    <w:tmpl w:val="80A8536E"/>
    <w:lvl w:ilvl="0" w:tplc="5FE20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7361"/>
    <w:multiLevelType w:val="hybridMultilevel"/>
    <w:tmpl w:val="177074EC"/>
    <w:lvl w:ilvl="0" w:tplc="BC78F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A5884"/>
    <w:multiLevelType w:val="hybridMultilevel"/>
    <w:tmpl w:val="079A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3CAC"/>
    <w:multiLevelType w:val="hybridMultilevel"/>
    <w:tmpl w:val="9008E484"/>
    <w:lvl w:ilvl="0" w:tplc="E1C84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7480F"/>
    <w:multiLevelType w:val="hybridMultilevel"/>
    <w:tmpl w:val="C8E488A4"/>
    <w:lvl w:ilvl="0" w:tplc="F0243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37099"/>
    <w:multiLevelType w:val="hybridMultilevel"/>
    <w:tmpl w:val="B4885480"/>
    <w:lvl w:ilvl="0" w:tplc="1E4EF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E033B"/>
    <w:multiLevelType w:val="hybridMultilevel"/>
    <w:tmpl w:val="56A8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17872"/>
    <w:multiLevelType w:val="hybridMultilevel"/>
    <w:tmpl w:val="07F47114"/>
    <w:lvl w:ilvl="0" w:tplc="B342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B7BF5"/>
    <w:multiLevelType w:val="hybridMultilevel"/>
    <w:tmpl w:val="0B5056FE"/>
    <w:lvl w:ilvl="0" w:tplc="075E1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830E3"/>
    <w:multiLevelType w:val="hybridMultilevel"/>
    <w:tmpl w:val="44503534"/>
    <w:lvl w:ilvl="0" w:tplc="E864D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62739"/>
    <w:multiLevelType w:val="hybridMultilevel"/>
    <w:tmpl w:val="6DC6C548"/>
    <w:lvl w:ilvl="0" w:tplc="360A8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682EDD"/>
    <w:multiLevelType w:val="hybridMultilevel"/>
    <w:tmpl w:val="B19410FC"/>
    <w:lvl w:ilvl="0" w:tplc="6B982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C41B30"/>
    <w:multiLevelType w:val="hybridMultilevel"/>
    <w:tmpl w:val="F19C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2AC1"/>
    <w:multiLevelType w:val="hybridMultilevel"/>
    <w:tmpl w:val="B3AAF202"/>
    <w:lvl w:ilvl="0" w:tplc="B096E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36433"/>
    <w:multiLevelType w:val="hybridMultilevel"/>
    <w:tmpl w:val="987A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BE"/>
    <w:rsid w:val="000131B0"/>
    <w:rsid w:val="000435FE"/>
    <w:rsid w:val="00325F28"/>
    <w:rsid w:val="003827CF"/>
    <w:rsid w:val="00401915"/>
    <w:rsid w:val="005A3EC2"/>
    <w:rsid w:val="00647CCA"/>
    <w:rsid w:val="0070439F"/>
    <w:rsid w:val="007E5C3D"/>
    <w:rsid w:val="008140CF"/>
    <w:rsid w:val="008933D0"/>
    <w:rsid w:val="009163BE"/>
    <w:rsid w:val="00A156C2"/>
    <w:rsid w:val="00A514E3"/>
    <w:rsid w:val="00A65A9B"/>
    <w:rsid w:val="00AA5768"/>
    <w:rsid w:val="00CA4032"/>
    <w:rsid w:val="00CD4E6B"/>
    <w:rsid w:val="00D66FC6"/>
    <w:rsid w:val="00EE0C53"/>
    <w:rsid w:val="00F2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65A9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65A9B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65A9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A65A9B"/>
    <w:rPr>
      <w:sz w:val="28"/>
    </w:rPr>
  </w:style>
  <w:style w:type="character" w:customStyle="1" w:styleId="a4">
    <w:name w:val="Основний текст Знак"/>
    <w:basedOn w:val="a0"/>
    <w:link w:val="a3"/>
    <w:rsid w:val="00A65A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A65A9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A65A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A65A9B"/>
  </w:style>
  <w:style w:type="paragraph" w:styleId="a8">
    <w:name w:val="header"/>
    <w:basedOn w:val="a"/>
    <w:link w:val="a9"/>
    <w:unhideWhenUsed/>
    <w:rsid w:val="00A65A9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A65A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A65A9B"/>
    <w:pPr>
      <w:ind w:left="720"/>
      <w:contextualSpacing/>
    </w:pPr>
  </w:style>
  <w:style w:type="paragraph" w:styleId="31">
    <w:name w:val="Body Text 3"/>
    <w:basedOn w:val="a"/>
    <w:link w:val="32"/>
    <w:rsid w:val="00A65A9B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A65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A65A9B"/>
    <w:pPr>
      <w:spacing w:after="120" w:line="480" w:lineRule="auto"/>
    </w:pPr>
    <w:rPr>
      <w:lang w:val="ru-RU"/>
    </w:rPr>
  </w:style>
  <w:style w:type="character" w:customStyle="1" w:styleId="20">
    <w:name w:val="Основний текст 2 Знак"/>
    <w:basedOn w:val="a0"/>
    <w:link w:val="2"/>
    <w:rsid w:val="00A6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A65A9B"/>
    <w:pPr>
      <w:ind w:left="-108" w:right="-108"/>
      <w:jc w:val="center"/>
    </w:pPr>
    <w:rPr>
      <w:sz w:val="16"/>
      <w:szCs w:val="20"/>
    </w:rPr>
  </w:style>
  <w:style w:type="table" w:styleId="ac">
    <w:name w:val="Table Grid"/>
    <w:basedOn w:val="a1"/>
    <w:uiPriority w:val="59"/>
    <w:rsid w:val="00A6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7754858727xfm71311498">
    <w:name w:val="yiv7754858727xfm_71311498"/>
    <w:basedOn w:val="a0"/>
    <w:rsid w:val="00CD4E6B"/>
  </w:style>
  <w:style w:type="paragraph" w:styleId="ad">
    <w:name w:val="Balloon Text"/>
    <w:basedOn w:val="a"/>
    <w:link w:val="ae"/>
    <w:uiPriority w:val="99"/>
    <w:semiHidden/>
    <w:unhideWhenUsed/>
    <w:rsid w:val="00A514E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14E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7766</Words>
  <Characters>4427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Марко</cp:lastModifiedBy>
  <cp:revision>10</cp:revision>
  <cp:lastPrinted>2021-02-24T12:29:00Z</cp:lastPrinted>
  <dcterms:created xsi:type="dcterms:W3CDTF">2020-11-22T14:00:00Z</dcterms:created>
  <dcterms:modified xsi:type="dcterms:W3CDTF">2021-02-26T15:25:00Z</dcterms:modified>
</cp:coreProperties>
</file>