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sz w:val="28"/>
          <w:szCs w:val="28"/>
        </w:rPr>
      </w:pPr>
    </w:p>
    <w:p>
      <w:pPr>
        <w:ind w:left="5103" w:firstLine="85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 xml:space="preserve">_________________А. Й. Паславська </w:t>
      </w:r>
    </w:p>
    <w:p>
      <w:pPr>
        <w:spacing w:line="240" w:lineRule="auto"/>
        <w:ind w:left="2835"/>
        <w:jc w:val="right"/>
        <w:rPr>
          <w:rFonts w:ascii="Times New Roman" w:hAnsi="Times New Roman" w:eastAsia="Times New Roman" w:cs="Times New Roman"/>
          <w:sz w:val="24"/>
          <w:szCs w:val="24"/>
        </w:rPr>
      </w:pPr>
      <w:r>
        <w:rPr>
          <w:rFonts w:ascii="Times New Roman" w:hAnsi="Times New Roman" w:eastAsia="Times New Roman" w:cs="Times New Roman"/>
          <w:sz w:val="24"/>
          <w:szCs w:val="24"/>
          <w:lang w:val="ru-RU"/>
        </w:rPr>
        <w:t>“______” ______________20___ р</w:t>
      </w:r>
      <w:r>
        <w:rPr>
          <w:rFonts w:ascii="Times New Roman" w:hAnsi="Times New Roman" w:eastAsia="Times New Roman" w:cs="Times New Roman"/>
          <w:sz w:val="24"/>
          <w:szCs w:val="24"/>
        </w:rPr>
        <w:t>оку</w:t>
      </w:r>
    </w:p>
    <w:p>
      <w:pPr>
        <w:spacing w:line="240" w:lineRule="auto"/>
        <w:ind w:left="2835"/>
        <w:jc w:val="right"/>
        <w:rPr>
          <w:rFonts w:ascii="Times New Roman" w:hAnsi="Times New Roman" w:eastAsia="Times New Roman" w:cs="Times New Roman"/>
          <w:sz w:val="24"/>
          <w:szCs w:val="24"/>
        </w:rPr>
      </w:pPr>
    </w:p>
    <w:p>
      <w:pPr>
        <w:jc w:val="center"/>
        <w:rPr>
          <w:rFonts w:ascii="Times New Roman" w:hAnsi="Times New Roman" w:eastAsia="Times New Roman" w:cs="Times New Roman"/>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 И Л А Б У С</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АКТУАЛЬНІ ПРОБЛЕМИ ФІЛОЛОГІЇ ТА ПЕРЕКЛАДОЗНАВСТВА</w:t>
      </w:r>
    </w:p>
    <w:p>
      <w:pPr>
        <w:jc w:val="cente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Освітній рівень </w:t>
      </w:r>
      <w:r>
        <w:rPr>
          <w:rFonts w:ascii="Times New Roman" w:hAnsi="Times New Roman" w:cs="Times New Roman"/>
          <w:b/>
          <w:sz w:val="28"/>
          <w:szCs w:val="28"/>
        </w:rPr>
        <w:tab/>
      </w:r>
      <w:r>
        <w:rPr>
          <w:rFonts w:ascii="Times New Roman" w:hAnsi="Times New Roman" w:cs="Times New Roman"/>
          <w:b/>
          <w:sz w:val="28"/>
          <w:szCs w:val="28"/>
        </w:rPr>
        <w:t>магістр</w:t>
      </w:r>
    </w:p>
    <w:p>
      <w:pPr>
        <w:tabs>
          <w:tab w:val="left" w:pos="2127"/>
        </w:tabs>
        <w:rPr>
          <w:rFonts w:ascii="Times New Roman" w:hAnsi="Times New Roman" w:cs="Times New Roman"/>
          <w:b/>
          <w:sz w:val="28"/>
          <w:szCs w:val="28"/>
        </w:rPr>
      </w:pPr>
      <w:r>
        <w:rPr>
          <w:rFonts w:ascii="Times New Roman" w:hAnsi="Times New Roman" w:cs="Times New Roman"/>
          <w:b/>
          <w:sz w:val="28"/>
          <w:szCs w:val="28"/>
        </w:rPr>
        <w:t xml:space="preserve">Галузь знань </w:t>
      </w:r>
      <w:r>
        <w:rPr>
          <w:rFonts w:ascii="Times New Roman" w:hAnsi="Times New Roman" w:cs="Times New Roman"/>
          <w:b/>
          <w:sz w:val="28"/>
          <w:szCs w:val="28"/>
        </w:rPr>
        <w:tab/>
      </w:r>
      <w:r>
        <w:rPr>
          <w:rFonts w:ascii="Times New Roman" w:hAnsi="Times New Roman" w:cs="Times New Roman"/>
          <w:b/>
          <w:sz w:val="28"/>
          <w:szCs w:val="28"/>
        </w:rPr>
        <w:t>03 Гуманітарні науки</w:t>
      </w:r>
    </w:p>
    <w:p>
      <w:pPr>
        <w:rPr>
          <w:rFonts w:ascii="Times New Roman" w:hAnsi="Times New Roman" w:cs="Times New Roman"/>
          <w:b/>
          <w:sz w:val="28"/>
          <w:szCs w:val="28"/>
        </w:rPr>
      </w:pPr>
      <w:r>
        <w:rPr>
          <w:rFonts w:ascii="Times New Roman" w:hAnsi="Times New Roman" w:cs="Times New Roman"/>
          <w:b/>
          <w:sz w:val="28"/>
          <w:szCs w:val="28"/>
        </w:rPr>
        <w:t xml:space="preserve">Спеціальність </w:t>
      </w:r>
      <w:r>
        <w:rPr>
          <w:rFonts w:ascii="Times New Roman" w:hAnsi="Times New Roman" w:cs="Times New Roman"/>
          <w:b/>
          <w:sz w:val="28"/>
          <w:szCs w:val="28"/>
        </w:rPr>
        <w:tab/>
      </w:r>
      <w:r>
        <w:rPr>
          <w:rFonts w:ascii="Times New Roman" w:hAnsi="Times New Roman" w:cs="Times New Roman"/>
          <w:b/>
          <w:sz w:val="28"/>
          <w:szCs w:val="28"/>
        </w:rPr>
        <w:t>035 Філологія</w:t>
      </w:r>
    </w:p>
    <w:p>
      <w:pPr>
        <w:ind w:left="2127" w:hanging="2127"/>
        <w:rPr>
          <w:rFonts w:ascii="Times New Roman" w:hAnsi="Times New Roman" w:cs="Times New Roman"/>
          <w:b/>
          <w:sz w:val="28"/>
          <w:szCs w:val="28"/>
        </w:rPr>
      </w:pPr>
      <w:r>
        <w:rPr>
          <w:rFonts w:ascii="Times New Roman" w:hAnsi="Times New Roman" w:cs="Times New Roman"/>
          <w:b/>
          <w:sz w:val="28"/>
          <w:szCs w:val="28"/>
        </w:rPr>
        <w:t xml:space="preserve">Спеціалізація </w:t>
      </w:r>
      <w:r>
        <w:rPr>
          <w:rFonts w:ascii="Times New Roman" w:hAnsi="Times New Roman" w:cs="Times New Roman"/>
          <w:b/>
          <w:sz w:val="28"/>
          <w:szCs w:val="28"/>
        </w:rPr>
        <w:tab/>
      </w:r>
      <w:r>
        <w:rPr>
          <w:rFonts w:ascii="Times New Roman" w:hAnsi="Times New Roman" w:cs="Times New Roman"/>
          <w:b/>
          <w:sz w:val="28"/>
          <w:szCs w:val="28"/>
        </w:rPr>
        <w:t xml:space="preserve">035.043 германські мови та літератури (переклад включно), перша – німецька </w:t>
      </w:r>
    </w:p>
    <w:p>
      <w:pPr>
        <w:ind w:left="2127" w:hanging="2127"/>
        <w:rPr>
          <w:rFonts w:ascii="Times New Roman" w:hAnsi="Times New Roman" w:cs="Times New Roman"/>
          <w:b/>
          <w:sz w:val="28"/>
          <w:szCs w:val="28"/>
        </w:rPr>
      </w:pPr>
      <w:r>
        <w:rPr>
          <w:rFonts w:ascii="Times New Roman" w:hAnsi="Times New Roman" w:cs="Times New Roman"/>
          <w:b/>
          <w:sz w:val="28"/>
          <w:szCs w:val="28"/>
        </w:rPr>
        <w:t>Освітня програма: «Переклад двох іноземних мов та міжкультурні німецькі студії»</w:t>
      </w:r>
    </w:p>
    <w:p>
      <w:pPr>
        <w:jc w:val="center"/>
        <w:rPr>
          <w:rFonts w:ascii="Times New Roman" w:hAnsi="Times New Roman" w:cs="Times New Roman"/>
          <w:b/>
          <w:sz w:val="28"/>
          <w:szCs w:val="28"/>
        </w:rPr>
      </w:pPr>
    </w:p>
    <w:p>
      <w:pPr>
        <w:jc w:val="center"/>
        <w:rPr>
          <w:rFonts w:ascii="Times New Roman" w:hAnsi="Times New Roman" w:cs="Times New Roman"/>
          <w:b/>
          <w:bCs/>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Львів – 2021 рік</w:t>
      </w:r>
      <w:r>
        <w:rPr>
          <w:rFonts w:ascii="Times New Roman" w:hAnsi="Times New Roman" w:cs="Times New Roman"/>
          <w:b/>
          <w:sz w:val="28"/>
          <w:szCs w:val="28"/>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«Актуальні проблеми філології та перекладознавства»</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Актуальні проблеми філології та перекладознавства</w:t>
            </w:r>
          </w:p>
        </w:tc>
      </w:tr>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Івана Франка, м. Львів, вул. Університетська,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кафедра міжкультурної комунікації та перекладу</w:t>
            </w:r>
          </w:p>
        </w:tc>
      </w:tr>
      <w:tr>
        <w:tc>
          <w:tcPr>
            <w:tcW w:w="308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 германські мови та літератури (переклад включно), перша – німецька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Освітня програма </w:t>
            </w:r>
            <w:r>
              <w:rPr>
                <w:rFonts w:ascii="Times New Roman" w:hAnsi="Times New Roman" w:cs="Times New Roman"/>
                <w:i/>
                <w:sz w:val="24"/>
                <w:szCs w:val="24"/>
              </w:rPr>
              <w:t>Переклад двох іноземних мов та міжкультурні німецькі студії</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ВИКЛАДАЧА</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Ляшенко Тетяна Степанівна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 роботи</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Електронна адреса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tetyana.lyashenko@lnu.edu.ua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Сторінка викладача</w:t>
            </w:r>
          </w:p>
        </w:tc>
        <w:tc>
          <w:tcPr>
            <w:tcW w:w="6486"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https://lingua.lnu.edu.ua/employee/lyashenko-tetyana-stepanivna</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КОНСУЛЬТАЦІЇ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Час</w:t>
            </w:r>
          </w:p>
        </w:tc>
        <w:tc>
          <w:tcPr>
            <w:tcW w:w="6486" w:type="dxa"/>
          </w:tcPr>
          <w:p>
            <w:pPr>
              <w:spacing w:after="0" w:line="240" w:lineRule="auto"/>
              <w:rPr>
                <w:rFonts w:ascii="Times New Roman" w:hAnsi="Times New Roman" w:cs="Times New Roman"/>
                <w:sz w:val="24"/>
                <w:szCs w:val="24"/>
              </w:rPr>
            </w:pPr>
            <w:r>
              <w:rPr>
                <w:rFonts w:ascii="Times New Roman" w:hAnsi="Times New Roman" w:eastAsia="Calibri" w:cs="Times New Roman"/>
                <w:bCs/>
                <w:color w:val="000000"/>
                <w:kern w:val="24"/>
                <w:sz w:val="24"/>
                <w:szCs w:val="24"/>
                <w:lang w:val="ru-RU"/>
              </w:rPr>
              <w:t>Очні консультації:</w:t>
            </w:r>
            <w:r>
              <w:rPr>
                <w:rFonts w:ascii="Times New Roman" w:hAnsi="Times New Roman" w:eastAsia="Calibri" w:cs="Times New Roman"/>
                <w:color w:val="000000"/>
                <w:kern w:val="24"/>
                <w:sz w:val="24"/>
                <w:szCs w:val="24"/>
              </w:rPr>
              <w:t xml:space="preserve"> </w:t>
            </w:r>
            <w:r>
              <w:rPr>
                <w:rFonts w:ascii="Times New Roman" w:hAnsi="Times New Roman" w:cs="Times New Roman"/>
                <w:sz w:val="24"/>
                <w:szCs w:val="24"/>
              </w:rPr>
              <w:t xml:space="preserve">щопонеділка, 15.00-16.20 </w:t>
            </w:r>
          </w:p>
          <w:p>
            <w:pPr>
              <w:spacing w:after="0" w:line="240" w:lineRule="auto"/>
              <w:rPr>
                <w:rFonts w:ascii="Times New Roman" w:hAnsi="Times New Roman" w:cs="Times New Roman"/>
                <w:sz w:val="24"/>
                <w:szCs w:val="24"/>
              </w:rPr>
            </w:pPr>
            <w:r>
              <w:rPr>
                <w:rFonts w:ascii="Times New Roman" w:hAnsi="Times New Roman" w:cs="Times New Roman"/>
                <w:sz w:val="24"/>
                <w:szCs w:val="24"/>
              </w:rPr>
              <w:t>Онлайн-консультації: (за домовленістю).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Місце</w:t>
            </w:r>
          </w:p>
        </w:tc>
        <w:tc>
          <w:tcPr>
            <w:tcW w:w="6486" w:type="dxa"/>
          </w:tcPr>
          <w:p>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ІНФОРМАЦІЯ ПРО КУРС</w:t>
      </w:r>
    </w:p>
    <w:tbl>
      <w:tblPr>
        <w:tblStyle w:val="15"/>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7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Сторінка курсу</w:t>
            </w:r>
          </w:p>
        </w:tc>
        <w:tc>
          <w:tcPr>
            <w:tcW w:w="7572" w:type="dxa"/>
          </w:tcPr>
          <w:p>
            <w:pPr>
              <w:spacing w:after="0" w:line="240" w:lineRule="auto"/>
              <w:jc w:val="both"/>
              <w:rPr>
                <w:rFonts w:ascii="Times New Roman" w:hAnsi="Times New Roman" w:cs="Times New Roman"/>
                <w:b/>
                <w:bCs/>
                <w:sz w:val="24"/>
                <w:szCs w:val="24"/>
              </w:rPr>
            </w:pPr>
            <w:r>
              <w:fldChar w:fldCharType="begin"/>
            </w:r>
            <w:r>
              <w:instrText xml:space="preserve"> HYPERLINK "https://lingua.lnu.edu.ua/department/mizhkulturnoji-komunikatsiji-ta-perekladu" \h </w:instrText>
            </w:r>
            <w:r>
              <w:fldChar w:fldCharType="separate"/>
            </w:r>
            <w:r>
              <w:rPr>
                <w:rStyle w:val="13"/>
                <w:rFonts w:ascii="Times New Roman" w:hAnsi="Times New Roman" w:cs="Times New Roman"/>
              </w:rPr>
              <w:t>https://lingua.lnu.edu.ua/department/mizhkulturnoji-komunikatsiji-ta-perekladu</w:t>
            </w:r>
            <w:r>
              <w:rPr>
                <w:rStyle w:val="13"/>
                <w:rFonts w:ascii="Times New Roman" w:hAnsi="Times New Roman" w:cs="Times New Roman"/>
              </w:rPr>
              <w:fldChar w:fldCharType="end"/>
            </w: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Коротка анотація курсу</w:t>
            </w:r>
          </w:p>
        </w:tc>
        <w:tc>
          <w:tcPr>
            <w:tcW w:w="7572" w:type="dxa"/>
          </w:tcPr>
          <w:p>
            <w:pPr>
              <w:spacing w:after="0" w:line="240" w:lineRule="auto"/>
              <w:ind w:right="317"/>
              <w:jc w:val="both"/>
              <w:rPr>
                <w:rFonts w:ascii="Times New Roman" w:hAnsi="Times New Roman" w:cs="Times New Roman"/>
                <w:b/>
                <w:sz w:val="24"/>
                <w:szCs w:val="24"/>
              </w:rPr>
            </w:pPr>
            <w:r>
              <w:rPr>
                <w:rFonts w:ascii="Times New Roman" w:hAnsi="Times New Roman" w:cs="Times New Roman"/>
                <w:sz w:val="24"/>
                <w:szCs w:val="24"/>
              </w:rPr>
              <w:t>Дисципліна «Актуальні проблеми філології та перекладознавства» є нормативною дисципліною зі спеціальності 035 Філологія для освітньої програми «Переклад двох іноземних мов та міжкультурні німецькі студії» ОС «магістр», яка викладається в 1-2 семестрах в обсязі 3 кредитів (за Європейською Кредитно-Трансферною Системою 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rPr>
              <w:t>Мета та цілі курсу</w:t>
            </w:r>
          </w:p>
        </w:tc>
        <w:tc>
          <w:tcPr>
            <w:tcW w:w="7572" w:type="dxa"/>
          </w:tcPr>
          <w:p>
            <w:pPr>
              <w:tabs>
                <w:tab w:val="left" w:pos="284"/>
                <w:tab w:val="left" w:pos="567"/>
              </w:tabs>
              <w:spacing w:after="0" w:line="240" w:lineRule="auto"/>
              <w:ind w:right="317"/>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розширення базової лінгвістичної та перекладознавчої  компетенції, ознайомлення з актуальними проблемами філології та перекладознавства другої половини ХХ – початку ХХІ ст., формування творчого мислення майбутніх вчених, сприяння усвідомленню сучасних тенденцій наукового пошуку.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b/>
                <w:sz w:val="24"/>
                <w:szCs w:val="24"/>
              </w:rPr>
              <w:t>Завдання</w:t>
            </w:r>
            <w:r>
              <w:rPr>
                <w:rFonts w:ascii="Times New Roman" w:hAnsi="Times New Roman"/>
                <w:sz w:val="24"/>
                <w:szCs w:val="24"/>
              </w:rPr>
              <w:t xml:space="preserve"> дисципліни: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ознайомити студентів з новітніми науковими концепціями і теоріями; </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визначити предмет, мету і завдання зіставної лінгвістики як самостійного розділу типології мов, її місце серед інших мовознавчих дисциплін і взаємозв’язки з ними;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дати огляд історії типологічних досліджень;</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навчити студентів розглядати і вивчати різні мови, виявляючи їх спільні та відмінні ознаки на різних рівнях мовної структури (фонологічному, морфологічному, синтаксичному і лексико-семантичному)</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сформувати цілісну концептуальну систему, методологічну базу і функціональний термінологічний інструментарій сучасної перекладознавчої науки;</w:t>
            </w:r>
          </w:p>
          <w:p>
            <w:pPr>
              <w:tabs>
                <w:tab w:val="left" w:pos="284"/>
                <w:tab w:val="left" w:pos="567"/>
              </w:tabs>
              <w:spacing w:after="0" w:line="240" w:lineRule="auto"/>
              <w:ind w:right="31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сформувати уміння самостійної обробки теоретичного матеріалу у межах сучасних лінгвістичних і перекладознавчих концепцій та ведення науково-дослідницької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572" w:type="dxa"/>
          </w:tcPr>
          <w:p>
            <w:pPr>
              <w:spacing w:after="0" w:line="240" w:lineRule="auto"/>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Рекомендована література з проблем перекладу</w:t>
            </w: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8"/>
              <w:numPr>
                <w:ilvl w:val="0"/>
                <w:numId w:val="1"/>
              </w:num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val="de-DE" w:eastAsia="de-DE"/>
              </w:rPr>
              <w:t>Prunč E. Entwicklungslinien der Translationswissenschaft. Von den Asymmetrien der Sprachen zu den Asymmetrien der Macht. Berlin: Frank &amp; Timme.</w:t>
            </w:r>
            <w:r>
              <w:t xml:space="preserve"> </w:t>
            </w:r>
            <w:r>
              <w:rPr>
                <w:rFonts w:ascii="Times New Roman" w:hAnsi="Times New Roman" w:eastAsia="Times New Roman" w:cs="Times New Roman"/>
                <w:sz w:val="24"/>
                <w:szCs w:val="24"/>
                <w:lang w:val="de-DE" w:eastAsia="de-DE"/>
              </w:rPr>
              <w:t>2011.</w:t>
            </w:r>
          </w:p>
          <w:p>
            <w:pPr>
              <w:pStyle w:val="1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Siever H. Übersetzungswissenschaft. Eine Einführung. Tübingen: Narr. 2015.</w:t>
            </w:r>
          </w:p>
          <w:p>
            <w:pPr>
              <w:pStyle w:val="1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Stolze R. Übersetzungstheorien. Eine Einführung. Verlag Tübingen: Narr Verlag, 6., überarb. und erweiterte Auflage 2011. </w:t>
            </w:r>
          </w:p>
          <w:p>
            <w:pPr>
              <w:pStyle w:val="18"/>
              <w:spacing w:after="0" w:line="240" w:lineRule="auto"/>
              <w:jc w:val="both"/>
              <w:rPr>
                <w:rFonts w:ascii="Times New Roman" w:hAnsi="Times New Roman" w:cs="Times New Roman"/>
                <w:sz w:val="24"/>
                <w:szCs w:val="24"/>
              </w:rPr>
            </w:pPr>
          </w:p>
          <w:p>
            <w:pPr>
              <w:pStyle w:val="18"/>
              <w:spacing w:after="0" w:line="240" w:lineRule="auto"/>
              <w:jc w:val="both"/>
              <w:rPr>
                <w:rFonts w:ascii="Times New Roman" w:hAnsi="Times New Roman" w:cs="Times New Roman"/>
                <w:sz w:val="24"/>
                <w:szCs w:val="24"/>
              </w:rPr>
            </w:pPr>
          </w:p>
          <w:p>
            <w:pPr>
              <w:spacing w:after="0" w:line="240" w:lineRule="auto"/>
              <w:ind w:left="376" w:hanging="376"/>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Прунч Э. Пути развития западного переводоведения. От языковой асимметрии к политической / Пер. с нем. М.: Р. Валент, 2015. 512 с.</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Kußmaul P. Kreatives Übersetzen. – Tübingen: Stauffenburg. 2000.</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Nord Ch. Textanalyse und Übersetzen. Theoretische Grundlagen, Methode und didaktische Anwendung einer übersetzungsrelevanten Textanalyse. 4. Überarbeitete Auflage. Tübingen: Groos.</w:t>
            </w:r>
            <w:r>
              <w:t xml:space="preserve"> </w:t>
            </w:r>
            <w:r>
              <w:rPr>
                <w:rFonts w:ascii="Times New Roman" w:hAnsi="Times New Roman" w:cs="Times New Roman"/>
                <w:sz w:val="24"/>
                <w:szCs w:val="24"/>
              </w:rPr>
              <w:t>2009.</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Risku H. Translatorische Kompetenz. Kognitive Grundlagen des Übersetzens als Eхpertentätigkeit – Tübingen: Stauffenburg. 1998.</w:t>
            </w:r>
          </w:p>
          <w:p>
            <w:pPr>
              <w:pStyle w:val="1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Stolze R. Hermeneutisches Übersetzen: Linguistische Kategorien des Verstehens und Formulierens beim Ubersetzen. – Tübingen, 1992.</w:t>
            </w:r>
          </w:p>
          <w:p>
            <w:pPr>
              <w:widowControl w:val="0"/>
              <w:spacing w:after="0" w:line="240" w:lineRule="auto"/>
              <w:jc w:val="both"/>
              <w:rPr>
                <w:rFonts w:ascii="Times New Roman" w:hAnsi="Times New Roman" w:eastAsia="Times New Roman" w:cs="Times New Roman"/>
                <w:sz w:val="24"/>
                <w:szCs w:val="24"/>
                <w:lang w:val="de-DE"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1-й і 2-й семестри, 180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кількість годин – 180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години аудиторних занять, з них 32 годин лекцій, 32 годин практичних занять. 116 годин самостійної роботи.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572" w:type="dxa"/>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У результаті вивчення навчальної дисципліни студент буде </w:t>
            </w:r>
            <w:r>
              <w:rPr>
                <w:rFonts w:ascii="Times New Roman" w:hAnsi="Times New Roman" w:cs="Times New Roman"/>
                <w:b/>
                <w:i/>
                <w:sz w:val="24"/>
              </w:rPr>
              <w:t>знати</w:t>
            </w:r>
            <w:r>
              <w:rPr>
                <w:rFonts w:ascii="Times New Roman" w:hAnsi="Times New Roman" w:cs="Times New Roman"/>
                <w:sz w:val="24"/>
              </w:rPr>
              <w:t>:</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сучасні типологічні теорії та вчення, методи та принципи, які використовуються у порівняльній типології;</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критерії виявлення збігу і розбіжності у використанні мовних засобів у різних мовах;</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причини подібності та відмінності мов;</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визначення міжмовних відповідників і лакун;</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 xml:space="preserve">базові поняття сучасних теорій перекладу, </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теоретичні і методологічні основи перекладознавчої науки;</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засади функціонального, інтепретативного та когнітивного підходів до перекладу;</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психолінгвістичні аспекти перекладу;</w:t>
            </w:r>
          </w:p>
          <w:p>
            <w:pPr>
              <w:numPr>
                <w:ilvl w:val="0"/>
                <w:numId w:val="2"/>
              </w:numPr>
              <w:tabs>
                <w:tab w:val="left" w:pos="284"/>
                <w:tab w:val="left" w:pos="591"/>
              </w:tabs>
              <w:spacing w:after="0" w:line="240" w:lineRule="auto"/>
              <w:jc w:val="both"/>
              <w:rPr>
                <w:rFonts w:ascii="Times New Roman" w:hAnsi="Times New Roman" w:cs="Times New Roman"/>
                <w:sz w:val="24"/>
              </w:rPr>
            </w:pPr>
            <w:r>
              <w:rPr>
                <w:rFonts w:ascii="Times New Roman" w:hAnsi="Times New Roman" w:cs="Times New Roman"/>
                <w:sz w:val="24"/>
              </w:rPr>
              <w:t>культурно-антропологічні засади перекладу як міжкультурної комунікації;</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rPr>
              <w:t>шляхи формування культурної компетенції перекладача.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сучасні теорії перекладу, підходи до перекладу, модель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Навчально-методичне забезпечення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лекцій,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в кінці 1 і 2 семестрів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Виставляється автоматично на підставі врахування поточної успішності протягом семестру.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вивчення курсу студенти потребують базових знань з таких дисциплін: «Вступ до спеціальності», «Теорія перекладу».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 час викладання навчальної дисципліни підлягають використанню методи, спрямовані на:</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формування у студентів інтересу до пізнавальної діяльності і відповідальності за навчальну працю;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забезпечення мисленнєвої діяльності (індуктивного, дедуктивного, репродуктивного й пошукового характеру);</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методи, пов’язані з контролем за навчальною діяльністю студентів.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 (презентація, евристичні бесіди, дискусії, «мозковий штурм», конкурси з практичними завданнями та їх подальше обговорення,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проектор і інтерактивна дошка.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572" w:type="dxa"/>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Бали нараховуються за наступним співвідношенням: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практичні заняття: 50% семестрової оцінки; максимальна кількість балів – 50 балів;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дві модульні контрольні роботи: 20% семестрової оцінки; максимальна кількість балів – 20 балів (2 х 10);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відвідування аудиторних занять: 10% семестрової оцінки; максимальна кількість балів – 10 балів;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самостійна робота: 20% семестрової оцінки; максимальна кількість балів – 20 балів.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Підсумкова максимальна кількість балів – 100 балів.</w:t>
            </w:r>
          </w:p>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Оцінювання письмової модульної контрольної роботи (0–10 балів) враховує рівень сформованості знань та вмінь на проміжному етапі вивчення навчальної дисципліни (модуль), відповідно 10 балів студент отримує за 100–96% правильних відповідей, 9 балів – 95–91% прав. відпов., 8 балів – 90–86% прав. відпов., 7 балів – 85–81% прав. відпов., 6 балів – 80–76% прав. відпов., 5 балів – 75–71% прав. відпов., 4 бали – 70–66% прав. відпов., 3 бали – 65–61% прав. відпов., 2 бали – 60–56% прав. відпов., 1 бал – 55–51% прав. відпов., 0 балів – 50%  і менше прав. відпов.</w:t>
            </w:r>
          </w:p>
          <w:p>
            <w:pPr>
              <w:tabs>
                <w:tab w:val="left" w:pos="284"/>
                <w:tab w:val="left" w:pos="567"/>
              </w:tabs>
              <w:spacing w:after="0" w:line="240" w:lineRule="auto"/>
              <w:jc w:val="both"/>
              <w:rPr>
                <w:rFonts w:ascii="Times New Roman" w:hAnsi="Times New Roman" w:cs="Times New Roman"/>
                <w:sz w:val="24"/>
                <w:szCs w:val="24"/>
              </w:rPr>
            </w:pPr>
          </w:p>
          <w:tbl>
            <w:tblPr>
              <w:tblStyle w:val="14"/>
              <w:tblW w:w="7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497"/>
              <w:gridCol w:w="250"/>
              <w:gridCol w:w="248"/>
              <w:gridCol w:w="501"/>
              <w:gridCol w:w="854"/>
              <w:gridCol w:w="498"/>
              <w:gridCol w:w="250"/>
              <w:gridCol w:w="249"/>
              <w:gridCol w:w="500"/>
              <w:gridCol w:w="856"/>
              <w:gridCol w:w="518"/>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jc w:val="right"/>
                    <w:rPr>
                      <w:rFonts w:ascii="Times New Roman" w:hAnsi="Times New Roman" w:cs="Times New Roman"/>
                      <w:b/>
                      <w:sz w:val="16"/>
                      <w:szCs w:val="16"/>
                    </w:rPr>
                  </w:pPr>
                  <w:r>
                    <w:rPr>
                      <w:rFonts w:ascii="Times New Roman" w:hAnsi="Times New Roman" w:cs="Times New Roman"/>
                      <w:b/>
                      <w:smallCaps/>
                      <w:sz w:val="16"/>
                      <w:szCs w:val="16"/>
                    </w:rPr>
                    <w:t>Модулі</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Модуль ІІ</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Підсумковий контроль (іспит)</w:t>
                  </w:r>
                </w:p>
              </w:tc>
              <w:tc>
                <w:tcPr>
                  <w:tcW w:w="518" w:type="dxa"/>
                  <w:vMerge w:val="restart"/>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Сума</w:t>
                  </w: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p>
                  <w:pPr>
                    <w:widowControl w:val="0"/>
                    <w:ind w:left="113" w:right="113"/>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7"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модуль</w:t>
                  </w:r>
                </w:p>
              </w:tc>
              <w:tc>
                <w:tcPr>
                  <w:tcW w:w="2350"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2352" w:type="dxa"/>
                  <w:gridSpan w:val="5"/>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25</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 w:hRule="atLeast"/>
              </w:trPr>
              <w:tc>
                <w:tcPr>
                  <w:tcW w:w="1683"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Змістові модулі</w:t>
                  </w:r>
                </w:p>
              </w:tc>
              <w:tc>
                <w:tcPr>
                  <w:tcW w:w="747"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1</w:t>
                  </w:r>
                </w:p>
              </w:tc>
              <w:tc>
                <w:tcPr>
                  <w:tcW w:w="748"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3</w:t>
                  </w:r>
                </w:p>
              </w:tc>
              <w:tc>
                <w:tcPr>
                  <w:tcW w:w="749" w:type="dxa"/>
                  <w:gridSpan w:val="2"/>
                  <w:tcBorders>
                    <w:top w:val="single" w:color="auto" w:sz="4" w:space="0"/>
                    <w:left w:val="single" w:color="auto" w:sz="4" w:space="0"/>
                    <w:bottom w:val="single" w:color="auto" w:sz="4" w:space="0"/>
                    <w:right w:val="single" w:color="auto" w:sz="4" w:space="0"/>
                  </w:tcBorders>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ЗМ 4</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sz w:val="16"/>
                      <w:szCs w:val="16"/>
                    </w:rPr>
                  </w:pPr>
                  <w:r>
                    <w:rPr>
                      <w:rFonts w:ascii="Times New Roman" w:hAnsi="Times New Roman" w:cs="Times New Roman"/>
                      <w:sz w:val="16"/>
                      <w:szCs w:val="16"/>
                    </w:rPr>
                    <w:t>Модульний контроль 2</w:t>
                  </w: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5"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Кількість балів за змістові модулі та модульний контроль</w:t>
                  </w:r>
                </w:p>
              </w:tc>
              <w:tc>
                <w:tcPr>
                  <w:tcW w:w="1496"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149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15</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1496"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1497" w:type="dxa"/>
                  <w:gridSpan w:val="4"/>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sz w:val="16"/>
                      <w:szCs w:val="16"/>
                    </w:rPr>
                  </w:pP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50</w:t>
                  </w:r>
                </w:p>
              </w:tc>
              <w:tc>
                <w:tcPr>
                  <w:tcW w:w="51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b/>
                      <w:sz w:val="16"/>
                      <w:szCs w:val="16"/>
                    </w:rPr>
                  </w:pPr>
                  <w:r>
                    <w:rPr>
                      <w:rFonts w:ascii="Times New Roman" w:hAnsi="Times New Roman" w:cs="Times New Roman"/>
                      <w:b/>
                      <w:sz w:val="16"/>
                      <w:szCs w:val="16"/>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trPr>
              <w:tc>
                <w:tcPr>
                  <w:tcW w:w="1683" w:type="dxa"/>
                  <w:vMerge w:val="restart"/>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 xml:space="preserve">Розподіл балів </w:t>
                  </w:r>
                </w:p>
              </w:tc>
              <w:tc>
                <w:tcPr>
                  <w:tcW w:w="497"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8"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498"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Аудиторна робота</w:t>
                  </w:r>
                </w:p>
              </w:tc>
              <w:tc>
                <w:tcPr>
                  <w:tcW w:w="499" w:type="dxa"/>
                  <w:gridSpan w:val="2"/>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Відвідування</w:t>
                  </w:r>
                </w:p>
              </w:tc>
              <w:tc>
                <w:tcPr>
                  <w:tcW w:w="499" w:type="dxa"/>
                  <w:tcBorders>
                    <w:top w:val="single" w:color="auto" w:sz="4" w:space="0"/>
                    <w:left w:val="single" w:color="auto" w:sz="4" w:space="0"/>
                    <w:bottom w:val="single" w:color="auto" w:sz="4" w:space="0"/>
                    <w:right w:val="single" w:color="auto" w:sz="4" w:space="0"/>
                  </w:tcBorders>
                  <w:textDirection w:val="btLr"/>
                </w:tcPr>
                <w:p>
                  <w:pPr>
                    <w:widowControl w:val="0"/>
                    <w:ind w:left="113" w:right="113"/>
                    <w:contextualSpacing/>
                    <w:rPr>
                      <w:rFonts w:ascii="Times New Roman" w:hAnsi="Times New Roman" w:cs="Times New Roman"/>
                      <w:sz w:val="16"/>
                      <w:szCs w:val="16"/>
                    </w:rPr>
                  </w:pPr>
                  <w:r>
                    <w:rPr>
                      <w:rFonts w:ascii="Times New Roman" w:hAnsi="Times New Roman" w:cs="Times New Roman"/>
                      <w:sz w:val="16"/>
                      <w:szCs w:val="16"/>
                    </w:rPr>
                    <w:t>Самостійна робота</w:t>
                  </w:r>
                </w:p>
              </w:tc>
              <w:tc>
                <w:tcPr>
                  <w:tcW w:w="854" w:type="dxa"/>
                  <w:tcBorders>
                    <w:top w:val="single" w:color="auto" w:sz="4" w:space="0"/>
                    <w:left w:val="single" w:color="auto" w:sz="4" w:space="0"/>
                    <w:bottom w:val="single" w:color="auto" w:sz="4" w:space="0"/>
                    <w:right w:val="single" w:color="auto" w:sz="4" w:space="0"/>
                  </w:tcBorders>
                  <w:textDirection w:val="btLr"/>
                  <w:vAlign w:val="center"/>
                </w:tcPr>
                <w:p>
                  <w:pPr>
                    <w:widowControl w:val="0"/>
                    <w:ind w:left="113" w:right="113"/>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 w:hRule="atLeast"/>
              </w:trPr>
              <w:tc>
                <w:tcPr>
                  <w:tcW w:w="1683" w:type="dxa"/>
                  <w:vMerge w:val="continue"/>
                  <w:tcBorders>
                    <w:top w:val="single" w:color="auto" w:sz="4" w:space="0"/>
                    <w:left w:val="single" w:color="auto" w:sz="4" w:space="0"/>
                    <w:bottom w:val="single" w:color="auto" w:sz="4" w:space="0"/>
                    <w:right w:val="single" w:color="auto" w:sz="4" w:space="0"/>
                  </w:tcBorders>
                  <w:vAlign w:val="center"/>
                </w:tcPr>
                <w:p>
                  <w:pPr>
                    <w:contextualSpacing/>
                    <w:rPr>
                      <w:rFonts w:ascii="Times New Roman" w:hAnsi="Times New Roman" w:cs="Times New Roman"/>
                      <w:b/>
                      <w:sz w:val="16"/>
                      <w:szCs w:val="16"/>
                    </w:rPr>
                  </w:pP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8"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498"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499"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5</w:t>
                  </w:r>
                </w:p>
              </w:tc>
              <w:tc>
                <w:tcPr>
                  <w:tcW w:w="854" w:type="dxa"/>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10</w:t>
                  </w: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c>
                <w:tcPr>
                  <w:tcW w:w="518" w:type="dxa"/>
                  <w:tcBorders>
                    <w:top w:val="single" w:color="auto" w:sz="4" w:space="0"/>
                    <w:left w:val="single" w:color="auto" w:sz="4" w:space="0"/>
                    <w:bottom w:val="single" w:color="auto" w:sz="4" w:space="0"/>
                    <w:right w:val="single" w:color="auto" w:sz="4" w:space="0"/>
                  </w:tcBorders>
                </w:tcPr>
                <w:p>
                  <w:pPr>
                    <w:widowControl w:val="0"/>
                    <w:contextualSpacing/>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3" w:hRule="atLeast"/>
              </w:trPr>
              <w:tc>
                <w:tcPr>
                  <w:tcW w:w="1683" w:type="dxa"/>
                  <w:tcBorders>
                    <w:top w:val="single" w:color="auto" w:sz="4" w:space="0"/>
                    <w:left w:val="single" w:color="auto" w:sz="4" w:space="0"/>
                    <w:bottom w:val="single" w:color="auto" w:sz="4" w:space="0"/>
                    <w:right w:val="single" w:color="auto" w:sz="4" w:space="0"/>
                  </w:tcBorders>
                  <w:vAlign w:val="center"/>
                </w:tcPr>
                <w:p>
                  <w:pPr>
                    <w:widowControl w:val="0"/>
                    <w:contextualSpacing/>
                    <w:rPr>
                      <w:rFonts w:ascii="Times New Roman" w:hAnsi="Times New Roman" w:cs="Times New Roman"/>
                      <w:b/>
                      <w:sz w:val="16"/>
                      <w:szCs w:val="16"/>
                    </w:rPr>
                  </w:pPr>
                  <w:r>
                    <w:rPr>
                      <w:rFonts w:ascii="Times New Roman" w:hAnsi="Times New Roman" w:cs="Times New Roman"/>
                      <w:b/>
                      <w:sz w:val="16"/>
                      <w:szCs w:val="16"/>
                    </w:rPr>
                    <w:t>Наукова робота</w:t>
                  </w:r>
                </w:p>
              </w:tc>
              <w:tc>
                <w:tcPr>
                  <w:tcW w:w="4703" w:type="dxa"/>
                  <w:gridSpan w:val="10"/>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Участь у студентських наукових конференціях, семінарах, круглих столах, олімпіадах та конкурсах</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val="0"/>
                    <w:contextualSpacing/>
                    <w:jc w:val="center"/>
                    <w:rPr>
                      <w:rFonts w:ascii="Times New Roman" w:hAnsi="Times New Roman" w:cs="Times New Roman"/>
                      <w:sz w:val="16"/>
                      <w:szCs w:val="16"/>
                    </w:rPr>
                  </w:pPr>
                  <w:r>
                    <w:rPr>
                      <w:rFonts w:ascii="Times New Roman" w:hAnsi="Times New Roman" w:cs="Times New Roman"/>
                      <w:sz w:val="16"/>
                      <w:szCs w:val="16"/>
                    </w:rPr>
                    <w:t>1 - 10</w:t>
                  </w:r>
                </w:p>
              </w:tc>
            </w:tr>
          </w:tbl>
          <w:p>
            <w:pPr>
              <w:tabs>
                <w:tab w:val="left" w:pos="284"/>
                <w:tab w:val="left" w:pos="567"/>
              </w:tabs>
              <w:spacing w:after="0" w:line="240" w:lineRule="auto"/>
              <w:jc w:val="both"/>
              <w:rPr>
                <w:rFonts w:ascii="Times New Roman" w:hAnsi="Times New Roman" w:cs="Times New Roman"/>
                <w:sz w:val="24"/>
                <w:szCs w:val="24"/>
              </w:rPr>
            </w:pPr>
          </w:p>
          <w:p>
            <w:pPr>
              <w:pStyle w:val="7"/>
              <w:jc w:val="center"/>
              <w:rPr>
                <w:b/>
                <w:bCs/>
                <w:sz w:val="24"/>
                <w:lang w:val="uk-UA"/>
              </w:rPr>
            </w:pPr>
            <w:r>
              <w:rPr>
                <w:b/>
                <w:bCs/>
                <w:sz w:val="24"/>
                <w:lang w:val="uk-UA"/>
              </w:rPr>
              <w:t>Шкала оцінювання модульної контрольної роботи</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
                      <w:bCs/>
                      <w:sz w:val="24"/>
                      <w:lang w:val="uk-UA"/>
                    </w:rPr>
                  </w:pPr>
                  <w:r>
                    <w:rPr>
                      <w:b/>
                      <w:bCs/>
                      <w:sz w:val="24"/>
                      <w:lang w:val="uk-UA"/>
                    </w:rPr>
                    <w:t>Кількість балів</w:t>
                  </w:r>
                </w:p>
              </w:tc>
              <w:tc>
                <w:tcPr>
                  <w:tcW w:w="4261" w:type="dxa"/>
                </w:tcPr>
                <w:p>
                  <w:pPr>
                    <w:pStyle w:val="7"/>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10</w:t>
                  </w:r>
                </w:p>
              </w:tc>
              <w:tc>
                <w:tcPr>
                  <w:tcW w:w="4261" w:type="dxa"/>
                </w:tcPr>
                <w:p>
                  <w:pPr>
                    <w:pStyle w:val="7"/>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9</w:t>
                  </w:r>
                </w:p>
              </w:tc>
              <w:tc>
                <w:tcPr>
                  <w:tcW w:w="4261" w:type="dxa"/>
                </w:tcPr>
                <w:p>
                  <w:pPr>
                    <w:pStyle w:val="7"/>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8</w:t>
                  </w:r>
                </w:p>
              </w:tc>
              <w:tc>
                <w:tcPr>
                  <w:tcW w:w="4261" w:type="dxa"/>
                </w:tcPr>
                <w:p>
                  <w:pPr>
                    <w:pStyle w:val="7"/>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7</w:t>
                  </w:r>
                </w:p>
              </w:tc>
              <w:tc>
                <w:tcPr>
                  <w:tcW w:w="4261" w:type="dxa"/>
                </w:tcPr>
                <w:p>
                  <w:pPr>
                    <w:pStyle w:val="7"/>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6</w:t>
                  </w:r>
                </w:p>
              </w:tc>
              <w:tc>
                <w:tcPr>
                  <w:tcW w:w="4261" w:type="dxa"/>
                </w:tcPr>
                <w:p>
                  <w:pPr>
                    <w:pStyle w:val="7"/>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5</w:t>
                  </w:r>
                </w:p>
              </w:tc>
              <w:tc>
                <w:tcPr>
                  <w:tcW w:w="4261" w:type="dxa"/>
                </w:tcPr>
                <w:p>
                  <w:pPr>
                    <w:pStyle w:val="7"/>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4</w:t>
                  </w:r>
                </w:p>
              </w:tc>
              <w:tc>
                <w:tcPr>
                  <w:tcW w:w="4261" w:type="dxa"/>
                </w:tcPr>
                <w:p>
                  <w:pPr>
                    <w:pStyle w:val="7"/>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3</w:t>
                  </w:r>
                </w:p>
              </w:tc>
              <w:tc>
                <w:tcPr>
                  <w:tcW w:w="4261" w:type="dxa"/>
                </w:tcPr>
                <w:p>
                  <w:pPr>
                    <w:pStyle w:val="7"/>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2</w:t>
                  </w:r>
                </w:p>
              </w:tc>
              <w:tc>
                <w:tcPr>
                  <w:tcW w:w="4261" w:type="dxa"/>
                </w:tcPr>
                <w:p>
                  <w:pPr>
                    <w:pStyle w:val="7"/>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1</w:t>
                  </w:r>
                </w:p>
              </w:tc>
              <w:tc>
                <w:tcPr>
                  <w:tcW w:w="4261" w:type="dxa"/>
                </w:tcPr>
                <w:p>
                  <w:pPr>
                    <w:pStyle w:val="7"/>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7"/>
                    <w:rPr>
                      <w:bCs/>
                      <w:sz w:val="24"/>
                      <w:lang w:val="uk-UA"/>
                    </w:rPr>
                  </w:pPr>
                  <w:r>
                    <w:rPr>
                      <w:bCs/>
                      <w:sz w:val="24"/>
                      <w:lang w:val="uk-UA"/>
                    </w:rPr>
                    <w:t xml:space="preserve"> 0</w:t>
                  </w:r>
                </w:p>
              </w:tc>
              <w:tc>
                <w:tcPr>
                  <w:tcW w:w="4261" w:type="dxa"/>
                </w:tcPr>
                <w:p>
                  <w:pPr>
                    <w:pStyle w:val="7"/>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Зміст СРС з дисципліни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підготовка до контрольних робіт.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Відвідування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надає викладач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572" w:type="dxa"/>
          </w:tcPr>
          <w:p>
            <w:pPr>
              <w:tabs>
                <w:tab w:val="left" w:pos="284"/>
                <w:tab w:val="left" w:pos="567"/>
              </w:tabs>
              <w:spacing w:after="0" w:line="240" w:lineRule="auto"/>
              <w:jc w:val="both"/>
              <w:rPr>
                <w:rFonts w:ascii="Times New Roman" w:hAnsi="Times New Roman" w:eastAsia="TimesNewRoman" w:cs="Times New Roman"/>
                <w:sz w:val="24"/>
                <w:lang w:eastAsia="uk-UA"/>
              </w:rPr>
            </w:pPr>
            <w:r>
              <w:rPr>
                <w:rFonts w:ascii="Times New Roman" w:hAnsi="Times New Roman" w:eastAsia="TimesNewRoman" w:cs="Times New Roman"/>
                <w:sz w:val="24"/>
                <w:lang w:eastAsia="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5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572"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по завершенню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bookmarkStart w:id="0" w:name="_GoBack"/>
      <w:bookmarkEnd w:id="0"/>
    </w:p>
    <w:p>
      <w:pPr>
        <w:rPr>
          <w:rFonts w:ascii="Times New Roman" w:hAnsi="Times New Roman" w:cs="Times New Roman"/>
          <w:sz w:val="24"/>
          <w:szCs w:val="24"/>
        </w:rPr>
      </w:pPr>
    </w:p>
    <w:sectPr>
      <w:pgSz w:w="16838" w:h="11906" w:orient="landscape"/>
      <w:pgMar w:top="1701" w:right="1134" w:bottom="85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ahoma">
    <w:panose1 w:val="020B0804030504040204"/>
    <w:charset w:val="CC"/>
    <w:family w:val="swiss"/>
    <w:pitch w:val="default"/>
    <w:sig w:usb0="E1002AFF" w:usb1="C000605B" w:usb2="00000029" w:usb3="00000000" w:csb0="200101FF" w:csb1="20280000"/>
  </w:font>
  <w:font w:name="TimesNewRoman">
    <w:altName w:val="Hiragino Sans"/>
    <w:panose1 w:val="00000000000000000000"/>
    <w:charset w:val="80"/>
    <w:family w:val="auto"/>
    <w:pitch w:val="default"/>
    <w:sig w:usb0="00000000" w:usb1="00000000" w:usb2="00000010" w:usb3="00000000" w:csb0="0002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AB7"/>
    <w:multiLevelType w:val="multilevel"/>
    <w:tmpl w:val="39566AB7"/>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55D179CC"/>
    <w:multiLevelType w:val="multilevel"/>
    <w:tmpl w:val="55D179C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99"/>
    <w:rsid w:val="000142D5"/>
    <w:rsid w:val="0001550E"/>
    <w:rsid w:val="00022CAB"/>
    <w:rsid w:val="0002541F"/>
    <w:rsid w:val="00030449"/>
    <w:rsid w:val="00033681"/>
    <w:rsid w:val="00035310"/>
    <w:rsid w:val="00042D4B"/>
    <w:rsid w:val="000474BE"/>
    <w:rsid w:val="0005198A"/>
    <w:rsid w:val="00060228"/>
    <w:rsid w:val="000668B0"/>
    <w:rsid w:val="000838A5"/>
    <w:rsid w:val="00086DF1"/>
    <w:rsid w:val="00090C59"/>
    <w:rsid w:val="000963DC"/>
    <w:rsid w:val="000968BD"/>
    <w:rsid w:val="000C3454"/>
    <w:rsid w:val="000D40B1"/>
    <w:rsid w:val="000D69EC"/>
    <w:rsid w:val="000E5773"/>
    <w:rsid w:val="000E6ABA"/>
    <w:rsid w:val="000F089D"/>
    <w:rsid w:val="000F1E7C"/>
    <w:rsid w:val="000F4334"/>
    <w:rsid w:val="000F5E7D"/>
    <w:rsid w:val="00110FFE"/>
    <w:rsid w:val="00112DF1"/>
    <w:rsid w:val="0012098D"/>
    <w:rsid w:val="001220E5"/>
    <w:rsid w:val="0013312D"/>
    <w:rsid w:val="001337B3"/>
    <w:rsid w:val="00147CA5"/>
    <w:rsid w:val="001512F1"/>
    <w:rsid w:val="00152C6F"/>
    <w:rsid w:val="00154C3D"/>
    <w:rsid w:val="00155DBF"/>
    <w:rsid w:val="001666C5"/>
    <w:rsid w:val="00170AD3"/>
    <w:rsid w:val="001823C7"/>
    <w:rsid w:val="001A3CC0"/>
    <w:rsid w:val="001B6EE6"/>
    <w:rsid w:val="001C2E13"/>
    <w:rsid w:val="001C4800"/>
    <w:rsid w:val="001D04C8"/>
    <w:rsid w:val="001E036B"/>
    <w:rsid w:val="0020008C"/>
    <w:rsid w:val="00200813"/>
    <w:rsid w:val="0023189C"/>
    <w:rsid w:val="00246A5B"/>
    <w:rsid w:val="00255CCF"/>
    <w:rsid w:val="002567B2"/>
    <w:rsid w:val="00267DC1"/>
    <w:rsid w:val="00276C65"/>
    <w:rsid w:val="00285AD5"/>
    <w:rsid w:val="00290695"/>
    <w:rsid w:val="00291490"/>
    <w:rsid w:val="0029693D"/>
    <w:rsid w:val="0029704F"/>
    <w:rsid w:val="002A5E14"/>
    <w:rsid w:val="002B5D05"/>
    <w:rsid w:val="002B5E45"/>
    <w:rsid w:val="002C1578"/>
    <w:rsid w:val="002C3E1A"/>
    <w:rsid w:val="002D6EAC"/>
    <w:rsid w:val="002E398D"/>
    <w:rsid w:val="002F136E"/>
    <w:rsid w:val="002F3A04"/>
    <w:rsid w:val="0031763F"/>
    <w:rsid w:val="00324625"/>
    <w:rsid w:val="00347DF8"/>
    <w:rsid w:val="003520DA"/>
    <w:rsid w:val="00353240"/>
    <w:rsid w:val="003607B5"/>
    <w:rsid w:val="0037198D"/>
    <w:rsid w:val="003723E1"/>
    <w:rsid w:val="0037413B"/>
    <w:rsid w:val="003758AD"/>
    <w:rsid w:val="00377564"/>
    <w:rsid w:val="00395881"/>
    <w:rsid w:val="00395883"/>
    <w:rsid w:val="003A1B35"/>
    <w:rsid w:val="003A6AE1"/>
    <w:rsid w:val="003B1E8C"/>
    <w:rsid w:val="003B2BD1"/>
    <w:rsid w:val="003B701F"/>
    <w:rsid w:val="003C59C0"/>
    <w:rsid w:val="003E78EB"/>
    <w:rsid w:val="003F462A"/>
    <w:rsid w:val="003F75A8"/>
    <w:rsid w:val="004113ED"/>
    <w:rsid w:val="00421927"/>
    <w:rsid w:val="004229F5"/>
    <w:rsid w:val="00437077"/>
    <w:rsid w:val="0045165C"/>
    <w:rsid w:val="004563A3"/>
    <w:rsid w:val="00462530"/>
    <w:rsid w:val="00464607"/>
    <w:rsid w:val="00474594"/>
    <w:rsid w:val="004752B7"/>
    <w:rsid w:val="00484403"/>
    <w:rsid w:val="00487750"/>
    <w:rsid w:val="004964B4"/>
    <w:rsid w:val="004A4A2C"/>
    <w:rsid w:val="004A4E9E"/>
    <w:rsid w:val="004C37DA"/>
    <w:rsid w:val="004C4CB7"/>
    <w:rsid w:val="004D224B"/>
    <w:rsid w:val="004D5660"/>
    <w:rsid w:val="004E1C09"/>
    <w:rsid w:val="004F446D"/>
    <w:rsid w:val="005132B7"/>
    <w:rsid w:val="0051575D"/>
    <w:rsid w:val="00527819"/>
    <w:rsid w:val="00530816"/>
    <w:rsid w:val="00531126"/>
    <w:rsid w:val="0053225B"/>
    <w:rsid w:val="005343EB"/>
    <w:rsid w:val="00543A92"/>
    <w:rsid w:val="00544414"/>
    <w:rsid w:val="00545920"/>
    <w:rsid w:val="005467CA"/>
    <w:rsid w:val="0055041E"/>
    <w:rsid w:val="0055564B"/>
    <w:rsid w:val="00571E70"/>
    <w:rsid w:val="005769CB"/>
    <w:rsid w:val="005839FE"/>
    <w:rsid w:val="005854CB"/>
    <w:rsid w:val="005871A6"/>
    <w:rsid w:val="005914A6"/>
    <w:rsid w:val="005A7553"/>
    <w:rsid w:val="005A7AA5"/>
    <w:rsid w:val="005B3A52"/>
    <w:rsid w:val="005B569C"/>
    <w:rsid w:val="005C20E6"/>
    <w:rsid w:val="005C6295"/>
    <w:rsid w:val="005D462F"/>
    <w:rsid w:val="005D5FCF"/>
    <w:rsid w:val="005E3F87"/>
    <w:rsid w:val="005E430C"/>
    <w:rsid w:val="005E53B6"/>
    <w:rsid w:val="005E5599"/>
    <w:rsid w:val="005F3825"/>
    <w:rsid w:val="005F606F"/>
    <w:rsid w:val="00622338"/>
    <w:rsid w:val="00622556"/>
    <w:rsid w:val="00625246"/>
    <w:rsid w:val="0063013B"/>
    <w:rsid w:val="00630DA4"/>
    <w:rsid w:val="00633166"/>
    <w:rsid w:val="006348E4"/>
    <w:rsid w:val="00661710"/>
    <w:rsid w:val="00675170"/>
    <w:rsid w:val="00676D09"/>
    <w:rsid w:val="00677F7C"/>
    <w:rsid w:val="00683C1D"/>
    <w:rsid w:val="006B39B6"/>
    <w:rsid w:val="006C526B"/>
    <w:rsid w:val="006C5C0A"/>
    <w:rsid w:val="006D2B4B"/>
    <w:rsid w:val="006E0793"/>
    <w:rsid w:val="006E7259"/>
    <w:rsid w:val="006F16ED"/>
    <w:rsid w:val="006F2872"/>
    <w:rsid w:val="006F7E05"/>
    <w:rsid w:val="00712690"/>
    <w:rsid w:val="00722244"/>
    <w:rsid w:val="007233EF"/>
    <w:rsid w:val="007378D7"/>
    <w:rsid w:val="00740E45"/>
    <w:rsid w:val="00743667"/>
    <w:rsid w:val="00745231"/>
    <w:rsid w:val="007454B6"/>
    <w:rsid w:val="007508DF"/>
    <w:rsid w:val="00753E89"/>
    <w:rsid w:val="00757015"/>
    <w:rsid w:val="00766C01"/>
    <w:rsid w:val="0078790E"/>
    <w:rsid w:val="00787BB8"/>
    <w:rsid w:val="007912E9"/>
    <w:rsid w:val="007944E8"/>
    <w:rsid w:val="007B530D"/>
    <w:rsid w:val="007E2646"/>
    <w:rsid w:val="007E27A3"/>
    <w:rsid w:val="007E4DB1"/>
    <w:rsid w:val="007F2861"/>
    <w:rsid w:val="007F3AC8"/>
    <w:rsid w:val="007F53EC"/>
    <w:rsid w:val="007F6310"/>
    <w:rsid w:val="008005F5"/>
    <w:rsid w:val="008045BC"/>
    <w:rsid w:val="008135AD"/>
    <w:rsid w:val="0084517B"/>
    <w:rsid w:val="00846175"/>
    <w:rsid w:val="00846519"/>
    <w:rsid w:val="00851694"/>
    <w:rsid w:val="00856E0C"/>
    <w:rsid w:val="008620E5"/>
    <w:rsid w:val="00872736"/>
    <w:rsid w:val="008733B0"/>
    <w:rsid w:val="00873F85"/>
    <w:rsid w:val="008743B8"/>
    <w:rsid w:val="008809E8"/>
    <w:rsid w:val="0088498F"/>
    <w:rsid w:val="00886C22"/>
    <w:rsid w:val="00887082"/>
    <w:rsid w:val="008A52E3"/>
    <w:rsid w:val="008A6970"/>
    <w:rsid w:val="008B4374"/>
    <w:rsid w:val="008B7AB3"/>
    <w:rsid w:val="008C0C9B"/>
    <w:rsid w:val="008C3905"/>
    <w:rsid w:val="008C740E"/>
    <w:rsid w:val="008C7BFE"/>
    <w:rsid w:val="008D13E8"/>
    <w:rsid w:val="008D4E49"/>
    <w:rsid w:val="008D5CEE"/>
    <w:rsid w:val="008D7109"/>
    <w:rsid w:val="008E1EA1"/>
    <w:rsid w:val="008E212B"/>
    <w:rsid w:val="008F1502"/>
    <w:rsid w:val="008F65D3"/>
    <w:rsid w:val="008F7638"/>
    <w:rsid w:val="008F7FC6"/>
    <w:rsid w:val="00906503"/>
    <w:rsid w:val="009071EA"/>
    <w:rsid w:val="00912931"/>
    <w:rsid w:val="00912D1B"/>
    <w:rsid w:val="00926690"/>
    <w:rsid w:val="00932784"/>
    <w:rsid w:val="00945524"/>
    <w:rsid w:val="00946BC1"/>
    <w:rsid w:val="00963DF3"/>
    <w:rsid w:val="00971A3D"/>
    <w:rsid w:val="00976026"/>
    <w:rsid w:val="009773A8"/>
    <w:rsid w:val="00985409"/>
    <w:rsid w:val="00986098"/>
    <w:rsid w:val="00995A90"/>
    <w:rsid w:val="009A223E"/>
    <w:rsid w:val="009A62C1"/>
    <w:rsid w:val="009A786A"/>
    <w:rsid w:val="009B6B2A"/>
    <w:rsid w:val="009B724B"/>
    <w:rsid w:val="009C02DF"/>
    <w:rsid w:val="009F3413"/>
    <w:rsid w:val="009F747E"/>
    <w:rsid w:val="00A06637"/>
    <w:rsid w:val="00A11B5D"/>
    <w:rsid w:val="00A14F99"/>
    <w:rsid w:val="00A22147"/>
    <w:rsid w:val="00A263D8"/>
    <w:rsid w:val="00A26C91"/>
    <w:rsid w:val="00A36AEE"/>
    <w:rsid w:val="00A40F5A"/>
    <w:rsid w:val="00A571C8"/>
    <w:rsid w:val="00A57CDB"/>
    <w:rsid w:val="00A65B9E"/>
    <w:rsid w:val="00A72D32"/>
    <w:rsid w:val="00A83DC3"/>
    <w:rsid w:val="00AA277D"/>
    <w:rsid w:val="00AA27BC"/>
    <w:rsid w:val="00AA3454"/>
    <w:rsid w:val="00AA647C"/>
    <w:rsid w:val="00AB0726"/>
    <w:rsid w:val="00AB31FF"/>
    <w:rsid w:val="00AC5066"/>
    <w:rsid w:val="00AC64BF"/>
    <w:rsid w:val="00AD5B28"/>
    <w:rsid w:val="00AD6D50"/>
    <w:rsid w:val="00AF2DE7"/>
    <w:rsid w:val="00B02D5E"/>
    <w:rsid w:val="00B13D0F"/>
    <w:rsid w:val="00B16DDD"/>
    <w:rsid w:val="00B176C7"/>
    <w:rsid w:val="00B17A00"/>
    <w:rsid w:val="00B21F1D"/>
    <w:rsid w:val="00B37BBD"/>
    <w:rsid w:val="00B423D0"/>
    <w:rsid w:val="00B46BC2"/>
    <w:rsid w:val="00B5602C"/>
    <w:rsid w:val="00B6721D"/>
    <w:rsid w:val="00B70E20"/>
    <w:rsid w:val="00B7661F"/>
    <w:rsid w:val="00B76F7A"/>
    <w:rsid w:val="00B82652"/>
    <w:rsid w:val="00B8265F"/>
    <w:rsid w:val="00B83657"/>
    <w:rsid w:val="00B900AD"/>
    <w:rsid w:val="00B96B32"/>
    <w:rsid w:val="00BA0648"/>
    <w:rsid w:val="00BA5AF6"/>
    <w:rsid w:val="00BC0B76"/>
    <w:rsid w:val="00BC3238"/>
    <w:rsid w:val="00BD09E5"/>
    <w:rsid w:val="00BD58B9"/>
    <w:rsid w:val="00BE36CD"/>
    <w:rsid w:val="00BF0DCC"/>
    <w:rsid w:val="00BF379C"/>
    <w:rsid w:val="00C0310D"/>
    <w:rsid w:val="00C15F59"/>
    <w:rsid w:val="00C173A1"/>
    <w:rsid w:val="00C32AC1"/>
    <w:rsid w:val="00C4573D"/>
    <w:rsid w:val="00C46427"/>
    <w:rsid w:val="00C54FB1"/>
    <w:rsid w:val="00C60DCF"/>
    <w:rsid w:val="00C65C7B"/>
    <w:rsid w:val="00C65F69"/>
    <w:rsid w:val="00C73961"/>
    <w:rsid w:val="00C75674"/>
    <w:rsid w:val="00C777B4"/>
    <w:rsid w:val="00C80F24"/>
    <w:rsid w:val="00C811BA"/>
    <w:rsid w:val="00C81BD4"/>
    <w:rsid w:val="00C85589"/>
    <w:rsid w:val="00C85CB8"/>
    <w:rsid w:val="00C867C4"/>
    <w:rsid w:val="00C95DBF"/>
    <w:rsid w:val="00C97F3E"/>
    <w:rsid w:val="00CA0EED"/>
    <w:rsid w:val="00CA1B66"/>
    <w:rsid w:val="00CA43D1"/>
    <w:rsid w:val="00CD1CE9"/>
    <w:rsid w:val="00CE0A75"/>
    <w:rsid w:val="00CE0BC8"/>
    <w:rsid w:val="00CE1694"/>
    <w:rsid w:val="00CF0147"/>
    <w:rsid w:val="00CF38FE"/>
    <w:rsid w:val="00CF7B63"/>
    <w:rsid w:val="00D00C59"/>
    <w:rsid w:val="00D1431A"/>
    <w:rsid w:val="00D25775"/>
    <w:rsid w:val="00D30C62"/>
    <w:rsid w:val="00D31BD4"/>
    <w:rsid w:val="00D4199B"/>
    <w:rsid w:val="00D42B62"/>
    <w:rsid w:val="00D44328"/>
    <w:rsid w:val="00D44F54"/>
    <w:rsid w:val="00D46615"/>
    <w:rsid w:val="00D46B73"/>
    <w:rsid w:val="00D47FA8"/>
    <w:rsid w:val="00D53949"/>
    <w:rsid w:val="00D5569C"/>
    <w:rsid w:val="00D56BFF"/>
    <w:rsid w:val="00D577F8"/>
    <w:rsid w:val="00D61AB9"/>
    <w:rsid w:val="00D63A2F"/>
    <w:rsid w:val="00D66059"/>
    <w:rsid w:val="00D7021F"/>
    <w:rsid w:val="00D72547"/>
    <w:rsid w:val="00D72CF1"/>
    <w:rsid w:val="00D7410C"/>
    <w:rsid w:val="00D92125"/>
    <w:rsid w:val="00DA3656"/>
    <w:rsid w:val="00DA4300"/>
    <w:rsid w:val="00DB10D9"/>
    <w:rsid w:val="00DB11F0"/>
    <w:rsid w:val="00DC3EF4"/>
    <w:rsid w:val="00DC7689"/>
    <w:rsid w:val="00DD2D73"/>
    <w:rsid w:val="00DD44B6"/>
    <w:rsid w:val="00DD49E4"/>
    <w:rsid w:val="00DD5365"/>
    <w:rsid w:val="00DD7623"/>
    <w:rsid w:val="00DE4E6F"/>
    <w:rsid w:val="00DF618D"/>
    <w:rsid w:val="00E0490E"/>
    <w:rsid w:val="00E05661"/>
    <w:rsid w:val="00E12C03"/>
    <w:rsid w:val="00E1636A"/>
    <w:rsid w:val="00E21327"/>
    <w:rsid w:val="00E22534"/>
    <w:rsid w:val="00E271CB"/>
    <w:rsid w:val="00E33C03"/>
    <w:rsid w:val="00E350A9"/>
    <w:rsid w:val="00E416D1"/>
    <w:rsid w:val="00E43735"/>
    <w:rsid w:val="00E51E49"/>
    <w:rsid w:val="00E83BF1"/>
    <w:rsid w:val="00E85FD7"/>
    <w:rsid w:val="00E91C81"/>
    <w:rsid w:val="00EA0D11"/>
    <w:rsid w:val="00EA5BBB"/>
    <w:rsid w:val="00EC47B3"/>
    <w:rsid w:val="00ED0B47"/>
    <w:rsid w:val="00ED4A1E"/>
    <w:rsid w:val="00ED679D"/>
    <w:rsid w:val="00EE1595"/>
    <w:rsid w:val="00EE3967"/>
    <w:rsid w:val="00EF2C86"/>
    <w:rsid w:val="00EF37F4"/>
    <w:rsid w:val="00F0134F"/>
    <w:rsid w:val="00F20848"/>
    <w:rsid w:val="00F20A92"/>
    <w:rsid w:val="00F231C6"/>
    <w:rsid w:val="00F23949"/>
    <w:rsid w:val="00F5323F"/>
    <w:rsid w:val="00F57A38"/>
    <w:rsid w:val="00F57AEF"/>
    <w:rsid w:val="00F622CF"/>
    <w:rsid w:val="00F66F80"/>
    <w:rsid w:val="00FA030D"/>
    <w:rsid w:val="00FA6258"/>
    <w:rsid w:val="00FA656E"/>
    <w:rsid w:val="00FB1ECA"/>
    <w:rsid w:val="00FB7920"/>
    <w:rsid w:val="00FC31C2"/>
    <w:rsid w:val="00FC74B7"/>
    <w:rsid w:val="00FD2F64"/>
    <w:rsid w:val="00FD6660"/>
    <w:rsid w:val="00FD7C58"/>
    <w:rsid w:val="00FF0363"/>
    <w:rsid w:val="00FF58ED"/>
    <w:rsid w:val="00FF68F5"/>
    <w:rsid w:val="0E99ECD2"/>
    <w:rsid w:val="1E7DE699"/>
    <w:rsid w:val="24522644"/>
    <w:rsid w:val="272D0B45"/>
    <w:rsid w:val="2BF24E77"/>
    <w:rsid w:val="2DD4579F"/>
    <w:rsid w:val="3250C819"/>
    <w:rsid w:val="38DF79DE"/>
    <w:rsid w:val="3DC9904D"/>
    <w:rsid w:val="3F86E9CF"/>
    <w:rsid w:val="49FE906F"/>
    <w:rsid w:val="657882E5"/>
    <w:rsid w:val="69EE3C5D"/>
    <w:rsid w:val="6D18164F"/>
    <w:rsid w:val="777CB491"/>
    <w:rsid w:val="78867785"/>
    <w:rsid w:val="7AC98DF8"/>
    <w:rsid w:val="7FF0F44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16"/>
    <w:qFormat/>
    <w:uiPriority w:val="0"/>
    <w:pPr>
      <w:keepNext/>
      <w:spacing w:after="0" w:line="240" w:lineRule="auto"/>
      <w:outlineLvl w:val="0"/>
    </w:pPr>
    <w:rPr>
      <w:rFonts w:ascii="Times New Roman" w:hAnsi="Times New Roman" w:eastAsia="Times New Roman" w:cs="Times New Roman"/>
      <w:sz w:val="32"/>
      <w:szCs w:val="24"/>
      <w:lang w:eastAsia="ru-RU"/>
    </w:rPr>
  </w:style>
  <w:style w:type="paragraph" w:styleId="3">
    <w:name w:val="heading 4"/>
    <w:basedOn w:val="1"/>
    <w:next w:val="1"/>
    <w:link w:val="19"/>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4">
    <w:name w:val="heading 5"/>
    <w:basedOn w:val="1"/>
    <w:next w:val="1"/>
    <w:link w:val="24"/>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5">
    <w:name w:val="heading 7"/>
    <w:basedOn w:val="1"/>
    <w:next w:val="1"/>
    <w:link w:val="20"/>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alloon Text"/>
    <w:basedOn w:val="1"/>
    <w:link w:val="22"/>
    <w:unhideWhenUsed/>
    <w:qFormat/>
    <w:uiPriority w:val="99"/>
    <w:pPr>
      <w:spacing w:after="0" w:line="240" w:lineRule="auto"/>
    </w:pPr>
    <w:rPr>
      <w:rFonts w:ascii="Tahoma" w:hAnsi="Tahoma" w:cs="Tahoma"/>
      <w:sz w:val="16"/>
      <w:szCs w:val="16"/>
    </w:rPr>
  </w:style>
  <w:style w:type="paragraph" w:styleId="7">
    <w:name w:val="Body Text"/>
    <w:basedOn w:val="1"/>
    <w:link w:val="21"/>
    <w:qFormat/>
    <w:uiPriority w:val="0"/>
    <w:pPr>
      <w:spacing w:after="120" w:line="240" w:lineRule="auto"/>
    </w:pPr>
    <w:rPr>
      <w:rFonts w:ascii="Times New Roman" w:hAnsi="Times New Roman" w:eastAsia="Times New Roman" w:cs="Times New Roman"/>
      <w:sz w:val="28"/>
      <w:szCs w:val="24"/>
      <w:lang w:val="ru-RU" w:eastAsia="ru-RU"/>
    </w:rPr>
  </w:style>
  <w:style w:type="paragraph" w:styleId="8">
    <w:name w:val="footer"/>
    <w:basedOn w:val="1"/>
    <w:link w:val="27"/>
    <w:unhideWhenUsed/>
    <w:qFormat/>
    <w:uiPriority w:val="99"/>
    <w:pPr>
      <w:tabs>
        <w:tab w:val="center" w:pos="4819"/>
        <w:tab w:val="right" w:pos="9639"/>
      </w:tabs>
      <w:spacing w:after="0" w:line="240" w:lineRule="auto"/>
    </w:pPr>
  </w:style>
  <w:style w:type="paragraph" w:styleId="9">
    <w:name w:val="header"/>
    <w:basedOn w:val="1"/>
    <w:link w:val="26"/>
    <w:unhideWhenUsed/>
    <w:qFormat/>
    <w:uiPriority w:val="99"/>
    <w:pPr>
      <w:tabs>
        <w:tab w:val="center" w:pos="4819"/>
        <w:tab w:val="right" w:pos="9639"/>
      </w:tabs>
      <w:spacing w:after="0" w:line="240" w:lineRule="auto"/>
    </w:pPr>
  </w:style>
  <w:style w:type="character" w:styleId="11">
    <w:name w:val="Emphasis"/>
    <w:qFormat/>
    <w:uiPriority w:val="20"/>
    <w:rPr>
      <w:i/>
      <w:iCs/>
    </w:rPr>
  </w:style>
  <w:style w:type="character" w:styleId="12">
    <w:name w:val="FollowedHyperlink"/>
    <w:basedOn w:val="10"/>
    <w:unhideWhenUsed/>
    <w:qFormat/>
    <w:uiPriority w:val="99"/>
    <w:rPr>
      <w:color w:val="800080" w:themeColor="followedHyperlink"/>
      <w:u w:val="single"/>
      <w14:textFill>
        <w14:solidFill>
          <w14:schemeClr w14:val="folHlink"/>
        </w14:solidFill>
      </w14:textFill>
    </w:rPr>
  </w:style>
  <w:style w:type="character" w:styleId="13">
    <w:name w:val="Hyperlink"/>
    <w:basedOn w:val="10"/>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Заголовок 1 Знак"/>
    <w:basedOn w:val="10"/>
    <w:link w:val="2"/>
    <w:qFormat/>
    <w:uiPriority w:val="0"/>
    <w:rPr>
      <w:rFonts w:ascii="Times New Roman" w:hAnsi="Times New Roman" w:eastAsia="Times New Roman" w:cs="Times New Roman"/>
      <w:sz w:val="32"/>
      <w:szCs w:val="24"/>
      <w:lang w:eastAsia="ru-RU"/>
    </w:rPr>
  </w:style>
  <w:style w:type="paragraph" w:customStyle="1" w:styleId="17">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8">
    <w:name w:val="List Paragraph"/>
    <w:basedOn w:val="1"/>
    <w:qFormat/>
    <w:uiPriority w:val="34"/>
    <w:pPr>
      <w:ind w:left="720"/>
      <w:contextualSpacing/>
    </w:pPr>
  </w:style>
  <w:style w:type="character" w:customStyle="1" w:styleId="19">
    <w:name w:val="Заголовок 4 Знак"/>
    <w:basedOn w:val="10"/>
    <w:link w:val="3"/>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0">
    <w:name w:val="Заголовок 7 Знак"/>
    <w:basedOn w:val="10"/>
    <w:link w:val="5"/>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1">
    <w:name w:val="Основной текст Знак"/>
    <w:basedOn w:val="10"/>
    <w:link w:val="7"/>
    <w:qFormat/>
    <w:uiPriority w:val="0"/>
    <w:rPr>
      <w:rFonts w:ascii="Times New Roman" w:hAnsi="Times New Roman" w:eastAsia="Times New Roman" w:cs="Times New Roman"/>
      <w:sz w:val="28"/>
      <w:szCs w:val="24"/>
      <w:lang w:val="ru-RU" w:eastAsia="ru-RU"/>
    </w:rPr>
  </w:style>
  <w:style w:type="character" w:customStyle="1" w:styleId="22">
    <w:name w:val="Текст выноски Знак"/>
    <w:basedOn w:val="10"/>
    <w:link w:val="6"/>
    <w:semiHidden/>
    <w:qFormat/>
    <w:uiPriority w:val="99"/>
    <w:rPr>
      <w:rFonts w:ascii="Tahoma" w:hAnsi="Tahoma" w:cs="Tahoma"/>
      <w:sz w:val="16"/>
      <w:szCs w:val="1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4">
    <w:name w:val="Заголовок 5 Знак"/>
    <w:basedOn w:val="10"/>
    <w:link w:val="4"/>
    <w:qFormat/>
    <w:uiPriority w:val="0"/>
    <w:rPr>
      <w:rFonts w:asciiTheme="majorHAnsi" w:hAnsiTheme="majorHAnsi" w:eastAsiaTheme="majorEastAsia" w:cstheme="majorBidi"/>
      <w:color w:val="376092" w:themeColor="accent1" w:themeShade="BF"/>
    </w:rPr>
  </w:style>
  <w:style w:type="character" w:customStyle="1" w:styleId="25">
    <w:name w:val="st"/>
    <w:basedOn w:val="10"/>
    <w:qFormat/>
    <w:uiPriority w:val="0"/>
  </w:style>
  <w:style w:type="character" w:customStyle="1" w:styleId="26">
    <w:name w:val="Верхний колонтитул Знак"/>
    <w:basedOn w:val="10"/>
    <w:link w:val="9"/>
    <w:qFormat/>
    <w:uiPriority w:val="99"/>
  </w:style>
  <w:style w:type="character" w:customStyle="1" w:styleId="27">
    <w:name w:val="Нижний колонтитул Знак"/>
    <w:basedOn w:val="10"/>
    <w:link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2481</Words>
  <Characters>14145</Characters>
  <Lines>117</Lines>
  <Paragraphs>33</Paragraphs>
  <TotalTime>0</TotalTime>
  <ScaleCrop>false</ScaleCrop>
  <LinksUpToDate>false</LinksUpToDate>
  <CharactersWithSpaces>16593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2021-01-31T01:22:00Z</dcterms:created>
  <dc:creator>Taras Pyts</dc:creator>
  <cp:lastModifiedBy>olgadenys</cp:lastModifiedBy>
  <cp:lastPrinted>2020-01-27T13:28:00Z</cp:lastPrinted>
  <dcterms:modified xsi:type="dcterms:W3CDTF">2021-02-18T17:22:28Z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