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bCs/>
          <w:sz w:val="28"/>
          <w:szCs w:val="28"/>
          <w:lang w:val="ru-RU"/>
        </w:rPr>
      </w:pPr>
    </w:p>
    <w:p>
      <w:pPr>
        <w:jc w:val="center"/>
        <w:rPr>
          <w:rFonts w:ascii="Times New Roman" w:hAnsi="Times New Roman" w:cs="Times New Roman"/>
          <w:b/>
          <w:bCs/>
          <w:sz w:val="28"/>
          <w:szCs w:val="28"/>
          <w:lang w:val="ru-RU"/>
        </w:rPr>
      </w:pPr>
    </w:p>
    <w:p>
      <w:pPr>
        <w:ind w:left="5103" w:firstLine="851"/>
        <w:jc w:val="center"/>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jc w:val="center"/>
        <w:rPr>
          <w:rFonts w:ascii="Times New Roman" w:hAnsi="Times New Roman" w:cs="Times New Roman"/>
          <w:b/>
          <w:bCs/>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rPr>
      </w:pPr>
      <w:r>
        <w:rPr>
          <w:rFonts w:ascii="Times New Roman" w:hAnsi="Times New Roman" w:cs="Times New Roman"/>
          <w:b/>
          <w:sz w:val="28"/>
          <w:szCs w:val="28"/>
        </w:rPr>
        <w:t>ДРУГА ІНОЗЕМНА МОВА</w:t>
      </w:r>
    </w:p>
    <w:p>
      <w:pPr>
        <w:jc w:val="center"/>
        <w:rPr>
          <w:rFonts w:ascii="Times New Roman" w:hAnsi="Times New Roman" w:cs="Times New Roman"/>
          <w:b/>
          <w:sz w:val="28"/>
          <w:szCs w:val="28"/>
          <w:lang w:val="ru-RU"/>
        </w:rPr>
      </w:pPr>
    </w:p>
    <w:p>
      <w:pPr>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Освітній ступінь Бакалавр</w:t>
      </w:r>
    </w:p>
    <w:p>
      <w:pPr>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 xml:space="preserve">Спеціалізація 035.04 Германські мови та літератури </w:t>
      </w:r>
    </w:p>
    <w:p>
      <w:pPr>
        <w:ind w:left="2127" w:hanging="2127"/>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 xml:space="preserve">                              (переклад включно)</w:t>
      </w:r>
    </w:p>
    <w:p>
      <w:pPr>
        <w:ind w:left="2127" w:hanging="2127"/>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Освітня програма: Переклад (німецька мова)</w:t>
      </w:r>
    </w:p>
    <w:p>
      <w:pPr>
        <w:ind w:left="2127" w:hanging="2127"/>
        <w:rPr>
          <w:rFonts w:ascii="Times New Roman" w:hAnsi="Times New Roman" w:cs="Times New Roman"/>
          <w:b/>
          <w:bCs/>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bCs/>
          <w:sz w:val="28"/>
          <w:szCs w:val="28"/>
          <w:lang w:val="ru-RU"/>
        </w:rPr>
      </w:pPr>
    </w:p>
    <w:p>
      <w:pPr>
        <w:jc w:val="both"/>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«Друга іноземна мова»</w:t>
      </w:r>
    </w:p>
    <w:p>
      <w:pPr>
        <w:jc w:val="center"/>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20</w:t>
      </w:r>
      <w:r>
        <w:rPr>
          <w:rFonts w:ascii="Times New Roman" w:hAnsi="Times New Roman" w:cs="Times New Roman"/>
          <w:b/>
          <w:sz w:val="24"/>
          <w:szCs w:val="24"/>
        </w:rPr>
        <w:t>/202</w:t>
      </w:r>
      <w:r>
        <w:rPr>
          <w:rFonts w:ascii="Times New Roman" w:hAnsi="Times New Roman" w:cs="Times New Roman"/>
          <w:b/>
          <w:sz w:val="24"/>
          <w:szCs w:val="24"/>
        </w:rPr>
        <w:t>1</w:t>
      </w:r>
      <w:r>
        <w:rPr>
          <w:rFonts w:ascii="Times New Roman" w:hAnsi="Times New Roman" w:cs="Times New Roman"/>
          <w:b/>
          <w:sz w:val="24"/>
          <w:szCs w:val="24"/>
        </w:rPr>
        <w:t xml:space="preserve"> навчального року</w:t>
      </w:r>
    </w:p>
    <w:p>
      <w:pPr>
        <w:jc w:val="center"/>
        <w:rPr>
          <w: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Друга іноземна мова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Переклад (німецька мова)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Сопіла Тетяна Миколаївна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магістр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tetyana</w:t>
            </w:r>
            <w:r>
              <w:rPr>
                <w:rFonts w:ascii="Times New Roman" w:hAnsi="Times New Roman" w:cs="Times New Roman"/>
                <w:sz w:val="24"/>
                <w:szCs w:val="24"/>
                <w:lang w:val="ru-RU"/>
              </w:rPr>
              <w:t>.</w:t>
            </w:r>
            <w:r>
              <w:rPr>
                <w:rFonts w:ascii="Times New Roman" w:hAnsi="Times New Roman" w:cs="Times New Roman"/>
                <w:sz w:val="24"/>
                <w:szCs w:val="24"/>
                <w:lang w:val="en-US"/>
              </w:rPr>
              <w:t>sopila</w:t>
            </w:r>
            <w:r>
              <w:rPr>
                <w:rFonts w:ascii="Times New Roman" w:hAnsi="Times New Roman" w:cs="Times New Roman"/>
                <w:sz w:val="24"/>
                <w:szCs w:val="24"/>
                <w:lang w:val="ru-RU"/>
              </w:rPr>
              <w:t>@</w:t>
            </w:r>
            <w:r>
              <w:rPr>
                <w:rFonts w:ascii="Times New Roman" w:hAnsi="Times New Roman" w:cs="Times New Roman"/>
                <w:sz w:val="24"/>
                <w:szCs w:val="24"/>
                <w:lang w:val="en-US"/>
              </w:rPr>
              <w:t>lnu</w:t>
            </w:r>
            <w:r>
              <w:rPr>
                <w:rFonts w:ascii="Times New Roman" w:hAnsi="Times New Roman" w:cs="Times New Roman"/>
                <w:sz w:val="24"/>
                <w:szCs w:val="24"/>
                <w:lang w:val="ru-RU"/>
              </w:rPr>
              <w:t>.</w:t>
            </w:r>
            <w:r>
              <w:rPr>
                <w:rFonts w:ascii="Times New Roman" w:hAnsi="Times New Roman" w:cs="Times New Roman"/>
                <w:sz w:val="24"/>
                <w:szCs w:val="24"/>
                <w:lang w:val="en-US"/>
              </w:rPr>
              <w:t>edu</w:t>
            </w:r>
            <w:r>
              <w:rPr>
                <w:rFonts w:ascii="Times New Roman" w:hAnsi="Times New Roman" w:cs="Times New Roman"/>
                <w:sz w:val="24"/>
                <w:szCs w:val="24"/>
                <w:lang w:val="ru-RU"/>
              </w:rPr>
              <w:t>.</w:t>
            </w:r>
            <w:r>
              <w:rPr>
                <w:rFonts w:ascii="Times New Roman" w:hAnsi="Times New Roman" w:cs="Times New Roman"/>
                <w:sz w:val="24"/>
                <w:szCs w:val="24"/>
                <w:lang w:val="en-US"/>
              </w:rPr>
              <w: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486" w:type="dxa"/>
          </w:tcPr>
          <w:p>
            <w:pPr>
              <w:spacing w:after="0" w:line="240" w:lineRule="auto"/>
              <w:rPr>
                <w:rFonts w:ascii="Times New Roman" w:hAnsi="Times New Roman" w:cs="Times New Roman"/>
                <w:b/>
                <w:sz w:val="24"/>
                <w:szCs w:val="24"/>
              </w:rPr>
            </w:pPr>
            <w:r>
              <w:fldChar w:fldCharType="begin"/>
            </w:r>
            <w:r>
              <w:instrText xml:space="preserve"> HYPERLINK "https://lingua.lnu.edu.ua/employee/sopila-tetiana-mykolaivna" </w:instrText>
            </w:r>
            <w:r>
              <w:fldChar w:fldCharType="separate"/>
            </w:r>
            <w:r>
              <w:rPr>
                <w:rFonts w:ascii="Times New Roman" w:hAnsi="Times New Roman" w:cs="Times New Roman"/>
                <w:bCs/>
                <w:sz w:val="24"/>
                <w:szCs w:val="24"/>
              </w:rPr>
              <w:t>https://lingua.lnu.edu.ua/employee/sopila-tetiana-mykolaivna</w:t>
            </w:r>
            <w:r>
              <w:rPr>
                <w:rFonts w:ascii="Times New Roman" w:hAnsi="Times New Roman" w:cs="Times New Roman"/>
                <w:bCs/>
                <w:sz w:val="24"/>
                <w:szCs w:val="24"/>
              </w:rPr>
              <w:fldChar w:fldCharType="end"/>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КОНСУЛЬТАЦІЇ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Щопонеділка, </w:t>
            </w:r>
            <w:r>
              <w:rPr>
                <w:rFonts w:ascii="Times New Roman" w:hAnsi="Times New Roman" w:eastAsia="SimSun" w:cs="Times New Roman"/>
                <w:color w:val="000000"/>
                <w:sz w:val="24"/>
                <w:szCs w:val="24"/>
                <w:shd w:val="clear" w:color="auto" w:fill="FFFFFF"/>
                <w:lang w:val="ru"/>
              </w:rPr>
              <w:t>10.10</w:t>
            </w:r>
            <w:r>
              <w:rPr>
                <w:rFonts w:ascii="Times New Roman" w:hAnsi="Times New Roman" w:eastAsia="SimSun" w:cs="Times New Roman"/>
                <w:color w:val="000000"/>
                <w:sz w:val="24"/>
                <w:szCs w:val="24"/>
                <w:shd w:val="clear" w:color="auto" w:fill="FFFFFF"/>
                <w:lang w:val="de"/>
              </w:rPr>
              <w:t>–</w:t>
            </w:r>
            <w:r>
              <w:rPr>
                <w:rFonts w:ascii="Times New Roman" w:hAnsi="Times New Roman" w:eastAsia="SimSun" w:cs="Times New Roman"/>
                <w:color w:val="000000"/>
                <w:sz w:val="24"/>
                <w:szCs w:val="24"/>
                <w:shd w:val="clear" w:color="auto" w:fill="FFFFFF"/>
                <w:lang w:val="ru"/>
              </w:rPr>
              <w:t>11.30 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7"/>
        <w:tblW w:w="982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Сторінка курсу</w:t>
            </w:r>
          </w:p>
        </w:tc>
        <w:tc>
          <w:tcPr>
            <w:tcW w:w="67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fldChar w:fldCharType="begin"/>
            </w:r>
            <w:r>
              <w:instrText xml:space="preserve"> HYPERLINK "https://lingua.lnu.edu.ua/department/mizhkulturnoji-komunikatsiji-ta-perekladu" </w:instrText>
            </w:r>
            <w:r>
              <w:fldChar w:fldCharType="separate"/>
            </w:r>
            <w:r>
              <w:rPr>
                <w:rStyle w:val="5"/>
              </w:rPr>
              <w:t>https://lingua.lnu.edu.ua/department/mizhkulturnoji-komunikatsiji-ta-perekladu</w:t>
            </w:r>
            <w:r>
              <w:rPr>
                <w:rStyle w:val="5"/>
              </w:rP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67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rPr>
              <w:t>Дисципліна «Друга іноземна мова» є нормативною дисципліною зі спеціальності 035 Філологія для освітньої програми ОС «бакалавр», яка викладається в 7-8 семестрах в обсязі 8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w:t>
            </w:r>
            <w:r>
              <w:rPr>
                <w:rFonts w:ascii="Times New Roman" w:hAnsi="Times New Roman" w:eastAsia="Times New Roman" w:cs="Times New Roman"/>
                <w:sz w:val="24"/>
                <w:szCs w:val="24"/>
              </w:rPr>
              <w:t>формування необхідної комунікативної спроможності у сферах професійного та ситуативного спілкування в усній і письмовій формах.</w:t>
            </w:r>
          </w:p>
          <w:p>
            <w:pPr>
              <w:tabs>
                <w:tab w:val="left" w:pos="284"/>
                <w:tab w:val="left" w:pos="567"/>
              </w:tabs>
              <w:spacing w:line="240" w:lineRule="auto"/>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w:t>
            </w:r>
            <w:r>
              <w:rPr>
                <w:rFonts w:ascii="Times New Roman" w:hAnsi="Times New Roman" w:eastAsia="Times New Roman" w:cs="Times New Roman"/>
                <w:sz w:val="24"/>
                <w:szCs w:val="24"/>
              </w:rPr>
              <w:t>навчитися генерувати нові ідеї, сприймати лексичну інформацію на слух та передавати на письмі, застосовувати мовні знання у практичних ситуаціях; уміння висловлювати власну точку зору, обґрунтовувати її іноземною мовою (німецькою) в міжнародних проектах та міжкультурних ситуаціях, працювати в команді.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67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9"/>
              <w:spacing w:after="23"/>
              <w:ind w:left="14"/>
              <w:rPr>
                <w:lang w:val="ru-RU"/>
              </w:rPr>
            </w:pPr>
            <w:r>
              <w:rPr>
                <w:lang w:val="ru-RU"/>
              </w:rPr>
              <w:t>1. Драб Н. Практична граматика німецької мови. – Вінниця: Нова книга, 2019.</w:t>
            </w:r>
          </w:p>
          <w:p>
            <w:pPr>
              <w:pStyle w:val="9"/>
              <w:spacing w:after="23"/>
              <w:ind w:left="14"/>
              <w:rPr>
                <w:lang w:val="ru-RU"/>
              </w:rPr>
            </w:pPr>
            <w:r>
              <w:rPr>
                <w:lang w:val="ru-RU"/>
              </w:rPr>
              <w:t>2. Кудіна О. Країни, де говорять німецькою : навчальний посібник з лінгвокраїнознавства. – Вінниця: Нова книга, 2017.</w:t>
            </w:r>
          </w:p>
          <w:p>
            <w:pPr>
              <w:pStyle w:val="9"/>
              <w:spacing w:after="23"/>
              <w:ind w:left="14"/>
              <w:rPr>
                <w:lang w:val="de-DE"/>
              </w:rPr>
            </w:pPr>
            <w:r>
              <w:rPr>
                <w:lang w:val="de-DE"/>
              </w:rPr>
              <w:t>3. Braun-Podeschwa J., Habersack Ch., Pude A. Menschen B1. Deutsch als Fremdsprache. Kursbuch. Hueber Verlag, 2015.</w:t>
            </w:r>
          </w:p>
          <w:p>
            <w:pPr>
              <w:pStyle w:val="9"/>
              <w:spacing w:after="23"/>
              <w:ind w:left="14"/>
              <w:rPr>
                <w:lang w:val="de-DE"/>
              </w:rPr>
            </w:pPr>
            <w:r>
              <w:rPr>
                <w:lang w:val="de-DE"/>
              </w:rPr>
              <w:t>4. Breitsameter A., Glas-Peters S., Pude A. Menschen B1. Deutsch als Fremdsprache. Arbeitsbuch. Hueber Verlag, 2015.</w:t>
            </w:r>
          </w:p>
          <w:p>
            <w:pPr>
              <w:pStyle w:val="9"/>
              <w:spacing w:after="23"/>
              <w:ind w:left="14"/>
              <w:rPr>
                <w:lang w:val="de-DE"/>
              </w:rPr>
            </w:pPr>
            <w:r>
              <w:rPr>
                <w:lang w:val="de-DE"/>
              </w:rPr>
              <w:t>5. Dinsel S., Geiger S. Großes Übungsbuch Deutsch. Grammatik. Hueber Verlag, 2009.</w:t>
            </w:r>
          </w:p>
          <w:p>
            <w:pPr>
              <w:pStyle w:val="9"/>
              <w:spacing w:after="23"/>
              <w:ind w:left="14"/>
              <w:rPr>
                <w:lang w:val="de-DE"/>
              </w:rPr>
            </w:pPr>
            <w:r>
              <w:rPr>
                <w:lang w:val="de-DE"/>
              </w:rPr>
              <w:t>6. Helbig G., Buscha J. Deutsche Grammatik. Ein Handbuch für den Ausländerunterricht. Leipzig- Berlin- München-Wien- Zürich-New York: Langenscheidt-Verl-: Enzyklopädie, 1993.</w:t>
            </w:r>
          </w:p>
          <w:p>
            <w:pPr>
              <w:pStyle w:val="9"/>
              <w:spacing w:after="23"/>
              <w:ind w:left="14"/>
              <w:rPr>
                <w:lang w:val="de-DE"/>
              </w:rPr>
            </w:pPr>
            <w:r>
              <w:rPr>
                <w:lang w:val="de-DE"/>
              </w:rPr>
              <w:t>7. Koithan U., Schmitz H., Sieber T., Sonntag R., Ochmann N.. Aspekte neu. Mittelstufe Deutsch. Arbeitsbuch 2. Langenscheidt, 2015.</w:t>
            </w:r>
          </w:p>
          <w:p>
            <w:pPr>
              <w:pStyle w:val="9"/>
              <w:spacing w:after="23"/>
              <w:ind w:left="14"/>
              <w:rPr>
                <w:lang w:val="de-DE"/>
              </w:rPr>
            </w:pPr>
            <w:r>
              <w:rPr>
                <w:lang w:val="de-DE"/>
              </w:rPr>
              <w:t>8. Koithan U., Schmitz H., Sieber T., Sonntag R., Ochmann N.. Aspekte neu. Mittelstufe Deutsch. Lehrbuch 2. Langenscheidt, 2015.</w:t>
            </w:r>
          </w:p>
          <w:p>
            <w:pPr>
              <w:pStyle w:val="9"/>
              <w:spacing w:after="23"/>
              <w:ind w:left="14"/>
              <w:rPr>
                <w:lang w:val="de-DE"/>
              </w:rPr>
            </w:pPr>
            <w:r>
              <w:rPr>
                <w:lang w:val="de-DE"/>
              </w:rPr>
              <w:t>9. Lütke M., Moritz U., Rodi M. Aspekte neu. Mittelstufe Deutsch. Intensivtrainer B2. Ernst Klett Sprachen, 2017.</w:t>
            </w: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numPr>
                <w:ilvl w:val="0"/>
                <w:numId w:val="1"/>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Der große Duden. Bd. 1. Die deutsche Rechtschreibung. – Mannheim u. a.: Dudenverlag, 2006.</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lang w:val="de-DE"/>
              </w:rPr>
              <w:t>11</w:t>
            </w:r>
            <w:r>
              <w:rPr>
                <w:rFonts w:ascii="Times New Roman" w:hAnsi="Times New Roman" w:cs="Times New Roman"/>
                <w:bCs/>
                <w:spacing w:val="-6"/>
                <w:sz w:val="24"/>
              </w:rPr>
              <w:t>. Der große Duden. Bd. 2. Stilwörterbuch. – Mannheim u. a.: Dudenverlag, 1998.</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lang w:val="de-DE"/>
              </w:rPr>
              <w:t>12</w:t>
            </w:r>
            <w:r>
              <w:rPr>
                <w:rFonts w:ascii="Times New Roman" w:hAnsi="Times New Roman" w:cs="Times New Roman"/>
                <w:bCs/>
                <w:spacing w:val="-6"/>
                <w:sz w:val="24"/>
              </w:rPr>
              <w:t>. Der große Duden. Bd. 3. Bildwörterbuch. – Mannheim u. a.: Dudenverlag, 2000.</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rPr>
              <w:t>1</w:t>
            </w:r>
            <w:r>
              <w:rPr>
                <w:rFonts w:ascii="Times New Roman" w:hAnsi="Times New Roman" w:cs="Times New Roman"/>
                <w:bCs/>
                <w:spacing w:val="-6"/>
                <w:sz w:val="24"/>
                <w:lang w:val="de-DE"/>
              </w:rPr>
              <w:t>3</w:t>
            </w:r>
            <w:r>
              <w:rPr>
                <w:rFonts w:ascii="Times New Roman" w:hAnsi="Times New Roman" w:cs="Times New Roman"/>
                <w:bCs/>
                <w:spacing w:val="-6"/>
                <w:sz w:val="24"/>
              </w:rPr>
              <w:t>. Der große Duden. Bd. 4. Grammatik. – Mannheim u. a.: Dudenverlag, 2005.</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rPr>
              <w:t>1</w:t>
            </w:r>
            <w:r>
              <w:rPr>
                <w:rFonts w:ascii="Times New Roman" w:hAnsi="Times New Roman" w:cs="Times New Roman"/>
                <w:bCs/>
                <w:spacing w:val="-6"/>
                <w:sz w:val="24"/>
                <w:lang w:val="de-DE"/>
              </w:rPr>
              <w:t>4</w:t>
            </w:r>
            <w:r>
              <w:rPr>
                <w:rFonts w:ascii="Times New Roman" w:hAnsi="Times New Roman" w:cs="Times New Roman"/>
                <w:bCs/>
                <w:spacing w:val="-6"/>
                <w:sz w:val="24"/>
              </w:rPr>
              <w:t>. Der große Duden. Bd. 10. Bedeutungswörterbuch. – Mannheim u. a.: Dudenverlag, 1998.</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rPr>
              <w:t>1</w:t>
            </w:r>
            <w:r>
              <w:rPr>
                <w:rFonts w:ascii="Times New Roman" w:hAnsi="Times New Roman" w:cs="Times New Roman"/>
                <w:bCs/>
                <w:spacing w:val="-6"/>
                <w:sz w:val="24"/>
                <w:lang w:val="de-DE"/>
              </w:rPr>
              <w:t>5</w:t>
            </w:r>
            <w:r>
              <w:rPr>
                <w:rFonts w:ascii="Times New Roman" w:hAnsi="Times New Roman" w:cs="Times New Roman"/>
                <w:bCs/>
                <w:spacing w:val="-6"/>
                <w:sz w:val="24"/>
              </w:rPr>
              <w:t>. Der große Duden. Bd. 11. Redewendungen. – Mannheim u. a.: Dudenverlag, 2000.</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rPr>
              <w:t>1</w:t>
            </w:r>
            <w:r>
              <w:rPr>
                <w:rFonts w:ascii="Times New Roman" w:hAnsi="Times New Roman" w:cs="Times New Roman"/>
                <w:bCs/>
                <w:spacing w:val="-6"/>
                <w:sz w:val="24"/>
                <w:lang w:val="de-DE"/>
              </w:rPr>
              <w:t>6</w:t>
            </w:r>
            <w:r>
              <w:rPr>
                <w:rFonts w:ascii="Times New Roman" w:hAnsi="Times New Roman" w:cs="Times New Roman"/>
                <w:bCs/>
                <w:spacing w:val="-6"/>
                <w:sz w:val="24"/>
              </w:rPr>
              <w:t>. Griesbach H., Schulz D. Deutsche Sprache für Ausländer. – Max Hueber Verlag, 2004.</w:t>
            </w:r>
          </w:p>
          <w:p>
            <w:pPr>
              <w:spacing w:after="0" w:line="240" w:lineRule="auto"/>
              <w:rPr>
                <w:rFonts w:ascii="Times New Roman" w:hAnsi="Times New Roman" w:cs="Times New Roman"/>
                <w:bCs/>
                <w:spacing w:val="-6"/>
                <w:sz w:val="24"/>
                <w:lang w:val="de-DE"/>
              </w:rPr>
            </w:pPr>
            <w:r>
              <w:rPr>
                <w:rFonts w:ascii="Times New Roman" w:hAnsi="Times New Roman" w:cs="Times New Roman"/>
                <w:bCs/>
                <w:spacing w:val="-6"/>
                <w:sz w:val="24"/>
              </w:rPr>
              <w:t>1</w:t>
            </w:r>
            <w:r>
              <w:rPr>
                <w:rFonts w:ascii="Times New Roman" w:hAnsi="Times New Roman" w:cs="Times New Roman"/>
                <w:bCs/>
                <w:spacing w:val="-6"/>
                <w:sz w:val="24"/>
                <w:lang w:val="de-DE"/>
              </w:rPr>
              <w:t>7</w:t>
            </w:r>
            <w:r>
              <w:rPr>
                <w:rFonts w:ascii="Times New Roman" w:hAnsi="Times New Roman" w:cs="Times New Roman"/>
                <w:bCs/>
                <w:spacing w:val="-6"/>
                <w:sz w:val="24"/>
              </w:rPr>
              <w:t>. Österreich. Tatsachen und Zahlen. – Wien: Bundespressedienst, 2002.</w:t>
            </w:r>
          </w:p>
          <w:p>
            <w:pPr>
              <w:spacing w:after="0" w:line="240" w:lineRule="auto"/>
              <w:rPr>
                <w:rFonts w:ascii="Times New Roman" w:hAnsi="Times New Roman" w:cs="Times New Roman"/>
                <w:bCs/>
                <w:spacing w:val="-6"/>
                <w:sz w:val="24"/>
              </w:rPr>
            </w:pPr>
            <w:r>
              <w:rPr>
                <w:rFonts w:ascii="Times New Roman" w:hAnsi="Times New Roman" w:cs="Times New Roman"/>
                <w:bCs/>
                <w:spacing w:val="-6"/>
                <w:sz w:val="24"/>
              </w:rPr>
              <w:t>1</w:t>
            </w:r>
            <w:r>
              <w:rPr>
                <w:rFonts w:ascii="Times New Roman" w:hAnsi="Times New Roman" w:cs="Times New Roman"/>
                <w:bCs/>
                <w:spacing w:val="-6"/>
                <w:sz w:val="24"/>
                <w:lang w:val="de-DE"/>
              </w:rPr>
              <w:t>8</w:t>
            </w:r>
            <w:r>
              <w:rPr>
                <w:rFonts w:ascii="Times New Roman" w:hAnsi="Times New Roman" w:cs="Times New Roman"/>
                <w:bCs/>
                <w:spacing w:val="-6"/>
                <w:sz w:val="24"/>
              </w:rPr>
              <w:t>. Tatsachen über Deutschland. – Frankfurt-am-Main: Societäts-Verlag, 2002.</w:t>
            </w: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http://www.goethe.de/</w:t>
            </w:r>
          </w:p>
          <w:p>
            <w:p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https://www.duden.de/</w:t>
            </w:r>
          </w:p>
          <w:p>
            <w:p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http://www.langenscheidt.de</w:t>
            </w:r>
          </w:p>
          <w:p>
            <w:p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http://www.pons.de/deutsch/</w:t>
            </w:r>
          </w:p>
          <w:p>
            <w:p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https://www.dw.com/de</w:t>
            </w:r>
          </w:p>
          <w:p>
            <w:pPr>
              <w:spacing w:after="0" w:line="240" w:lineRule="auto"/>
              <w:jc w:val="both"/>
              <w:rPr>
                <w:rFonts w:ascii="Times New Roman" w:hAnsi="Times New Roman" w:cs="Times New Roman"/>
                <w:sz w:val="24"/>
                <w:szCs w:val="24"/>
              </w:rPr>
            </w:pPr>
            <w:r>
              <w:fldChar w:fldCharType="begin"/>
            </w:r>
            <w:r>
              <w:instrText xml:space="preserve"> HYPERLINK "https://www.tagesanzeiger.ch/" </w:instrText>
            </w:r>
            <w:r>
              <w:fldChar w:fldCharType="separate"/>
            </w:r>
            <w:r>
              <w:rPr>
                <w:rFonts w:ascii="Times New Roman" w:hAnsi="Times New Roman" w:cs="Times New Roman"/>
                <w:spacing w:val="-6"/>
                <w:sz w:val="24"/>
                <w:szCs w:val="24"/>
              </w:rPr>
              <w:t>https://www.tagesanzeiger.ch/</w:t>
            </w:r>
            <w:r>
              <w:rPr>
                <w:rFonts w:ascii="Times New Roman" w:hAnsi="Times New Roman" w:cs="Times New Roman"/>
                <w:spacing w:val="-6"/>
                <w:sz w:val="24"/>
                <w:szCs w:val="24"/>
              </w:rPr>
              <w:fldChar w:fldCharType="end"/>
            </w:r>
          </w:p>
          <w:p>
            <w:pPr>
              <w:spacing w:after="0" w:line="240" w:lineRule="auto"/>
              <w:jc w:val="both"/>
              <w:rPr>
                <w:rFonts w:ascii="Times New Roman" w:hAnsi="Times New Roman"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67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семестри (7-8), 240 годин, з яких у першому – 120 год, у другому – 120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6760" w:type="dxa"/>
            <w:tcBorders>
              <w:top w:val="single" w:color="auto" w:sz="4" w:space="0"/>
              <w:left w:val="single" w:color="auto" w:sz="4" w:space="0"/>
              <w:bottom w:val="single" w:color="auto" w:sz="4" w:space="0"/>
              <w:right w:val="single" w:color="auto" w:sz="4" w:space="0"/>
            </w:tcBorders>
          </w:tcPr>
          <w:p>
            <w:pPr>
              <w:pStyle w:val="3"/>
              <w:spacing w:after="0"/>
              <w:jc w:val="both"/>
              <w:textAlignment w:val="baseline"/>
            </w:pPr>
            <w:r>
              <w:rPr>
                <w:rFonts w:ascii="Times New Roman" w:hAnsi="Times New Roman" w:eastAsia="Segoe UI" w:cs="Times New Roman"/>
                <w:lang w:val="uk"/>
              </w:rPr>
              <w:t>Загальна кількість годин – 2</w:t>
            </w:r>
            <w:r>
              <w:rPr>
                <w:rFonts w:ascii="Times New Roman" w:hAnsi="Times New Roman" w:eastAsia="Segoe UI" w:cs="Times New Roman"/>
              </w:rPr>
              <w:t>40</w:t>
            </w:r>
            <w:r>
              <w:rPr>
                <w:rFonts w:ascii="Times New Roman" w:hAnsi="Times New Roman" w:eastAsia="Segoe UI" w:cs="Times New Roman"/>
                <w:lang w:val="ru"/>
              </w:rPr>
              <w:t>.</w:t>
            </w:r>
            <w:r>
              <w:rPr>
                <w:rFonts w:ascii="Times New Roman" w:hAnsi="Times New Roman" w:eastAsia="Segoe UI" w:cs="Times New Roman"/>
              </w:rPr>
              <w:t> </w:t>
            </w:r>
          </w:p>
          <w:p>
            <w:pPr>
              <w:pStyle w:val="3"/>
              <w:spacing w:after="0"/>
              <w:jc w:val="both"/>
              <w:textAlignment w:val="baseline"/>
            </w:pPr>
            <w:r>
              <w:rPr>
                <w:rFonts w:ascii="Times New Roman" w:hAnsi="Times New Roman" w:eastAsia="Segoe UI" w:cs="Times New Roman"/>
                <w:lang w:val="uk"/>
              </w:rPr>
              <w:t xml:space="preserve">У 7-ому семестрі – </w:t>
            </w:r>
            <w:r>
              <w:rPr>
                <w:rFonts w:ascii="Times New Roman" w:hAnsi="Times New Roman" w:eastAsia="Segoe UI" w:cs="Times New Roman"/>
              </w:rPr>
              <w:t>64</w:t>
            </w:r>
            <w:r>
              <w:rPr>
                <w:rFonts w:ascii="Times New Roman" w:hAnsi="Times New Roman" w:eastAsia="Segoe UI" w:cs="Times New Roman"/>
                <w:lang w:val="uk"/>
              </w:rPr>
              <w:t xml:space="preserve"> год аудиторної роботи і </w:t>
            </w:r>
            <w:r>
              <w:rPr>
                <w:rFonts w:ascii="Times New Roman" w:hAnsi="Times New Roman" w:eastAsia="Segoe UI" w:cs="Times New Roman"/>
              </w:rPr>
              <w:t>56</w:t>
            </w:r>
            <w:r>
              <w:rPr>
                <w:rFonts w:ascii="Times New Roman" w:hAnsi="Times New Roman" w:eastAsia="Segoe UI" w:cs="Times New Roman"/>
                <w:lang w:val="uk"/>
              </w:rPr>
              <w:t xml:space="preserve"> год самостійної роботи, у 8-ому семестрі – </w:t>
            </w:r>
            <w:r>
              <w:rPr>
                <w:rFonts w:ascii="Times New Roman" w:hAnsi="Times New Roman" w:eastAsia="Segoe UI" w:cs="Times New Roman"/>
              </w:rPr>
              <w:t>4</w:t>
            </w:r>
            <w:r>
              <w:rPr>
                <w:rFonts w:ascii="Times New Roman" w:hAnsi="Times New Roman" w:eastAsia="Segoe UI" w:cs="Times New Roman"/>
                <w:lang w:val="uk"/>
              </w:rPr>
              <w:t xml:space="preserve">0 год аудиторної роботи і </w:t>
            </w:r>
            <w:r>
              <w:rPr>
                <w:rFonts w:ascii="Times New Roman" w:hAnsi="Times New Roman" w:eastAsia="Segoe UI" w:cs="Times New Roman"/>
              </w:rPr>
              <w:t>8</w:t>
            </w:r>
            <w:r>
              <w:rPr>
                <w:rFonts w:ascii="Times New Roman" w:hAnsi="Times New Roman" w:eastAsia="Segoe UI" w:cs="Times New Roman"/>
                <w:lang w:val="uk"/>
              </w:rPr>
              <w:t>0 год самостійної.</w:t>
            </w:r>
            <w:r>
              <w:rPr>
                <w:rFonts w:ascii="Times New Roman" w:hAnsi="Times New Roman" w:eastAsia="Segoe UI" w:cs="Times New Roman"/>
              </w:rPr>
              <w:t> </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результаті вивчення навчальної дисципліни студент повинен </w:t>
            </w:r>
          </w:p>
          <w:p>
            <w:pPr>
              <w:tabs>
                <w:tab w:val="left" w:pos="284"/>
                <w:tab w:val="left" w:pos="567"/>
              </w:tabs>
              <w:spacing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знати</w:t>
            </w:r>
            <w:r>
              <w:rPr>
                <w:rFonts w:ascii="Times New Roman" w:hAnsi="Times New Roman" w:eastAsia="Times New Roman" w:cs="Times New Roman"/>
                <w:sz w:val="24"/>
                <w:szCs w:val="24"/>
              </w:rPr>
              <w:t>: лексику в вихідній та цільовій мові для досягнення комунікативного ефекту; граматичні структури, що є необхідними для гнучкого вираження відповідних функцій та понять, а також для розуміння та створення широкого діапазону текстів.</w:t>
            </w:r>
          </w:p>
          <w:p>
            <w:pPr>
              <w:tabs>
                <w:tab w:val="left" w:pos="284"/>
                <w:tab w:val="left" w:pos="567"/>
              </w:tabs>
              <w:spacing w:line="240" w:lineRule="auto"/>
              <w:ind w:firstLine="567"/>
              <w:jc w:val="both"/>
              <w:rPr>
                <w:rFonts w:ascii="Times New Roman" w:hAnsi="Times New Roman" w:cs="Times New Roman"/>
                <w:sz w:val="24"/>
                <w:szCs w:val="24"/>
              </w:rPr>
            </w:pPr>
            <w:r>
              <w:rPr>
                <w:rFonts w:ascii="Times New Roman" w:hAnsi="Times New Roman" w:eastAsia="Times New Roman" w:cs="Times New Roman"/>
                <w:b/>
                <w:sz w:val="24"/>
                <w:szCs w:val="24"/>
              </w:rPr>
              <w:t>вміти</w:t>
            </w:r>
            <w:r>
              <w:rPr>
                <w:rFonts w:ascii="Times New Roman" w:hAnsi="Times New Roman" w:eastAsia="Times New Roman" w:cs="Times New Roman"/>
                <w:sz w:val="24"/>
                <w:szCs w:val="24"/>
              </w:rPr>
              <w:t>: використовувати набуті знання у мовленнєвій діяльності, здійснювати комунікацію іноземною мовою в різноманітних ситуаціях соціального, навчально-академічного та професійного спілкування; систематизувати та поглиблювати знання мови і культури іноземної мови на принципі єдності тематичного та інтеркультурного аспектів.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Граматика, лексика, комунікативні навички, проектна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8-ого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eastAsia="SimSun" w:cs="Times New Roman"/>
                <w:color w:val="000000"/>
                <w:sz w:val="24"/>
                <w:szCs w:val="24"/>
                <w:shd w:val="clear" w:color="auto" w:fill="FFFFFF"/>
                <w:lang w:val="uk"/>
              </w:rPr>
              <w:t>Максимальна кількість балів оцінювання знань становить за поточну успішність  – 50 балів, на іспиті – 50 балів</w:t>
            </w:r>
            <w:r>
              <w:rPr>
                <w:rFonts w:ascii="Times New Roman" w:hAnsi="Times New Roman" w:eastAsia="SimSun" w:cs="Times New Roman"/>
                <w:color w:val="000000"/>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eastAsia="SimSun" w:cs="Times New Roman"/>
                <w:color w:val="000000"/>
                <w:sz w:val="24"/>
                <w:szCs w:val="24"/>
                <w:shd w:val="clear" w:color="auto" w:fill="FFFFFF"/>
                <w:lang w:val="uk"/>
              </w:rPr>
              <w:t>Для вивчення курсу студенти потребують базових знань із дисципліни «</w:t>
            </w:r>
            <w:r>
              <w:rPr>
                <w:rFonts w:ascii="Times New Roman" w:hAnsi="Times New Roman" w:eastAsia="SimSun" w:cs="Times New Roman"/>
                <w:color w:val="000000"/>
                <w:sz w:val="24"/>
                <w:szCs w:val="24"/>
                <w:shd w:val="clear" w:color="auto" w:fill="FFFFFF"/>
              </w:rPr>
              <w:t>Друга</w:t>
            </w:r>
            <w:r>
              <w:rPr>
                <w:rFonts w:ascii="Times New Roman" w:hAnsi="Times New Roman" w:eastAsia="SimSun" w:cs="Times New Roman"/>
                <w:color w:val="000000"/>
                <w:sz w:val="24"/>
                <w:szCs w:val="24"/>
                <w:shd w:val="clear" w:color="auto" w:fill="FFFFFF"/>
                <w:lang w:val="uk"/>
              </w:rPr>
              <w:t xml:space="preserve"> іноземна мова» за </w:t>
            </w:r>
            <w:r>
              <w:rPr>
                <w:rFonts w:ascii="Times New Roman" w:hAnsi="Times New Roman" w:eastAsia="SimSun" w:cs="Times New Roman"/>
                <w:color w:val="000000"/>
                <w:sz w:val="24"/>
                <w:szCs w:val="24"/>
                <w:shd w:val="clear" w:color="auto" w:fill="FFFFFF"/>
              </w:rPr>
              <w:t>2</w:t>
            </w:r>
            <w:r>
              <w:rPr>
                <w:rFonts w:ascii="Times New Roman" w:hAnsi="Times New Roman" w:eastAsia="SimSun" w:cs="Times New Roman"/>
                <w:color w:val="000000"/>
                <w:sz w:val="24"/>
                <w:szCs w:val="24"/>
                <w:shd w:val="clear" w:color="auto" w:fill="FFFFFF"/>
                <w:lang w:val="uk"/>
              </w:rPr>
              <w:t>–6 навчальний семестр.</w:t>
            </w:r>
            <w:r>
              <w:rPr>
                <w:rFonts w:ascii="Times New Roman" w:hAnsi="Times New Roman" w:eastAsia="SimSun" w:cs="Times New Roman"/>
                <w:color w:val="000000"/>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6760" w:type="dxa"/>
            <w:tcBorders>
              <w:top w:val="single" w:color="auto" w:sz="4" w:space="0"/>
              <w:left w:val="single" w:color="auto" w:sz="4" w:space="0"/>
              <w:bottom w:val="single" w:color="auto" w:sz="4" w:space="0"/>
              <w:right w:val="single" w:color="auto" w:sz="4" w:space="0"/>
            </w:tcBorders>
          </w:tcPr>
          <w:p>
            <w:pPr>
              <w:pStyle w:val="3"/>
              <w:spacing w:after="0"/>
              <w:jc w:val="both"/>
              <w:textAlignment w:val="baseline"/>
            </w:pPr>
            <w:r>
              <w:rPr>
                <w:rFonts w:ascii="Times New Roman" w:hAnsi="Times New Roman" w:eastAsia="Segoe UI" w:cs="Times New Roman"/>
                <w:shd w:val="clear" w:color="auto" w:fill="FFFFFF"/>
                <w:lang w:val="uk"/>
              </w:rPr>
              <w:t>Під час викладання навчальної дисципліни підлягають використанню методи, спрямовані на:</w:t>
            </w:r>
            <w:r>
              <w:rPr>
                <w:rFonts w:ascii="Times New Roman" w:hAnsi="Times New Roman" w:eastAsia="Segoe UI" w:cs="Times New Roman"/>
                <w:shd w:val="clear" w:color="auto" w:fill="FFFFFF"/>
              </w:rPr>
              <w:t> </w:t>
            </w:r>
          </w:p>
          <w:p>
            <w:pPr>
              <w:pStyle w:val="3"/>
              <w:spacing w:after="0"/>
              <w:jc w:val="both"/>
              <w:textAlignment w:val="baseline"/>
            </w:pPr>
            <w:r>
              <w:rPr>
                <w:rFonts w:ascii="Times New Roman" w:hAnsi="Times New Roman" w:eastAsia="Segoe UI" w:cs="Times New Roman"/>
                <w:shd w:val="clear" w:color="auto" w:fill="FFFFFF"/>
                <w:lang w:val="uk"/>
              </w:rPr>
              <w:t>- формування у студентів інтересу до пізнавальної діяльності і відповідальності за навчальну працю;</w:t>
            </w:r>
            <w:r>
              <w:rPr>
                <w:rFonts w:ascii="Times New Roman" w:hAnsi="Times New Roman" w:eastAsia="Segoe UI" w:cs="Times New Roman"/>
                <w:shd w:val="clear" w:color="auto" w:fill="FFFFFF"/>
              </w:rPr>
              <w:t> </w:t>
            </w:r>
          </w:p>
          <w:p>
            <w:pPr>
              <w:pStyle w:val="3"/>
              <w:spacing w:after="0"/>
              <w:jc w:val="both"/>
              <w:textAlignment w:val="baseline"/>
            </w:pPr>
            <w:r>
              <w:rPr>
                <w:rFonts w:ascii="Times New Roman" w:hAnsi="Times New Roman" w:eastAsia="Segoe UI" w:cs="Times New Roman"/>
                <w:shd w:val="clear" w:color="auto" w:fill="FFFFFF"/>
                <w:lang w:val="uk"/>
              </w:rPr>
              <w:t>- забезпечення мисленнєвої діяльності (індуктивного, дедуктивного, репродуктивного й пошукового характеру);</w:t>
            </w:r>
            <w:r>
              <w:rPr>
                <w:rFonts w:ascii="Times New Roman" w:hAnsi="Times New Roman" w:eastAsia="Segoe UI" w:cs="Times New Roman"/>
                <w:shd w:val="clear" w:color="auto" w:fill="FFFFFF"/>
              </w:rPr>
              <w:t> </w:t>
            </w:r>
          </w:p>
          <w:p>
            <w:pPr>
              <w:pStyle w:val="3"/>
              <w:spacing w:after="0"/>
              <w:jc w:val="both"/>
              <w:textAlignment w:val="baseline"/>
            </w:pPr>
            <w:r>
              <w:rPr>
                <w:rFonts w:ascii="Times New Roman" w:hAnsi="Times New Roman" w:eastAsia="Segoe UI" w:cs="Times New Roman"/>
                <w:shd w:val="clear" w:color="auto" w:fill="FFFFFF"/>
                <w:lang w:val="uk"/>
              </w:rPr>
              <w:t>- методи, пов’язані з контролем за навчальною діяльністю студентів.</w:t>
            </w:r>
            <w:r>
              <w:rPr>
                <w:rFonts w:ascii="Times New Roman" w:hAnsi="Times New Roman" w:eastAsia="Segoe UI" w:cs="Times New Roman"/>
                <w:shd w:val="clear" w:color="auto" w:fill="FFFFFF"/>
              </w:rPr>
              <w:t> </w:t>
            </w:r>
          </w:p>
          <w:p>
            <w:pPr>
              <w:pStyle w:val="3"/>
              <w:spacing w:after="0"/>
              <w:jc w:val="both"/>
              <w:textAlignment w:val="baseline"/>
            </w:pPr>
            <w:r>
              <w:rPr>
                <w:rFonts w:ascii="Times" w:hAnsi="Times" w:eastAsia="Times" w:cs="Times"/>
                <w:shd w:val="clear" w:color="auto" w:fill="FFFFFF"/>
                <w:lang w:val="uk"/>
              </w:rPr>
              <w:t>Серед методів навчання, зокрема, підлягають застосуванню наступні:</w:t>
            </w:r>
            <w:r>
              <w:rPr>
                <w:rFonts w:ascii="Times" w:hAnsi="Times" w:eastAsia="Times" w:cs="Times"/>
                <w:shd w:val="clear" w:color="auto" w:fill="FFFFFF"/>
              </w:rPr>
              <w:t> </w:t>
            </w:r>
          </w:p>
          <w:p>
            <w:pPr>
              <w:pStyle w:val="3"/>
              <w:spacing w:after="0"/>
              <w:jc w:val="both"/>
              <w:textAlignment w:val="baseline"/>
              <w:rPr>
                <w:rFonts w:ascii="Times New Roman" w:hAnsi="Times New Roman" w:cs="Times New Roman"/>
              </w:rPr>
            </w:pPr>
            <w:r>
              <w:rPr>
                <w:rFonts w:ascii="Times" w:hAnsi="Times" w:eastAsia="Times" w:cs="Times"/>
                <w:shd w:val="clear" w:color="auto" w:fill="FFFFFF"/>
                <w:lang w:val="uk"/>
              </w:rPr>
              <w:t>інформаційно-рецептивний (розповідь, пояснення, бесіда, демонстрація); проблемний виклад навчального матеріалу, частково-пошуковий та дослідницький методи; наочні (робота з таблицями, схемами тощо); практичне заняття, інтерактивні методи (презентація, евристичні бесіди, дискусії, «мозковий штурм», використання мультимедійних комп’ютерних програм).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6760" w:type="dxa"/>
            <w:tcBorders>
              <w:top w:val="single" w:color="auto" w:sz="4" w:space="0"/>
              <w:left w:val="single" w:color="auto" w:sz="4" w:space="0"/>
              <w:bottom w:val="single" w:color="auto" w:sz="4" w:space="0"/>
              <w:right w:val="single" w:color="auto" w:sz="4" w:space="0"/>
            </w:tcBorders>
          </w:tcPr>
          <w:p>
            <w:pPr>
              <w:pStyle w:val="3"/>
              <w:spacing w:after="0"/>
              <w:jc w:val="both"/>
              <w:textAlignment w:val="baseline"/>
            </w:pPr>
            <w:r>
              <w:rPr>
                <w:rFonts w:ascii="Times" w:hAnsi="Times" w:eastAsia="Times" w:cs="Times"/>
                <w:shd w:val="clear" w:color="auto" w:fill="FFFFFF"/>
                <w:lang w:val="uk"/>
              </w:rPr>
              <w:t>Оцінювання знань студента здійснюється за 100-бальною шкалою.</w:t>
            </w:r>
            <w:r>
              <w:rPr>
                <w:rFonts w:ascii="Times" w:hAnsi="Times" w:eastAsia="Times" w:cs="Times"/>
                <w:shd w:val="clear" w:color="auto" w:fill="FFFFFF"/>
              </w:rPr>
              <w:t> </w:t>
            </w:r>
          </w:p>
          <w:p>
            <w:pPr>
              <w:pStyle w:val="3"/>
              <w:spacing w:after="0"/>
              <w:jc w:val="both"/>
              <w:textAlignment w:val="baseline"/>
            </w:pPr>
            <w:r>
              <w:rPr>
                <w:rFonts w:ascii="Times New Roman" w:hAnsi="Times New Roman" w:eastAsia="Segoe UI" w:cs="Times New Roman"/>
                <w:shd w:val="clear" w:color="auto" w:fill="FFFFFF"/>
                <w:lang w:val="uk"/>
              </w:rPr>
              <w:t>•</w:t>
            </w:r>
            <w:r>
              <w:rPr>
                <w:rFonts w:ascii="Times" w:hAnsi="Times" w:eastAsia="Times" w:cs="Times"/>
                <w:shd w:val="clear" w:color="auto" w:fill="FFFFFF"/>
                <w:lang w:val="uk"/>
              </w:rPr>
              <w:t> максимальна кількість балів оцінювання знань студентів з дисципліни, яка завершується іспитом, становить за поточну успішність 50 балів, на іспиті – 50 балів;</w:t>
            </w:r>
            <w:r>
              <w:rPr>
                <w:rFonts w:ascii="Times" w:hAnsi="Times" w:eastAsia="Times" w:cs="Times"/>
                <w:shd w:val="clear" w:color="auto" w:fill="FFFFFF"/>
              </w:rPr>
              <w:t> </w:t>
            </w:r>
          </w:p>
          <w:p>
            <w:pPr>
              <w:pStyle w:val="3"/>
              <w:spacing w:after="0"/>
              <w:jc w:val="both"/>
              <w:textAlignment w:val="baseline"/>
            </w:pPr>
            <w:r>
              <w:rPr>
                <w:rFonts w:ascii="Times New Roman" w:hAnsi="Times New Roman" w:eastAsia="Segoe UI" w:cs="Times New Roman"/>
                <w:shd w:val="clear" w:color="auto" w:fill="FFFFFF"/>
                <w:lang w:val="uk"/>
              </w:rPr>
              <w:t>•</w:t>
            </w:r>
            <w:r>
              <w:rPr>
                <w:rFonts w:ascii="Times" w:hAnsi="Times" w:eastAsia="Times" w:cs="Times"/>
                <w:shd w:val="clear" w:color="auto" w:fill="FFFFFF"/>
                <w:lang w:val="uk"/>
              </w:rPr>
              <w:t> для оформлення документів за іспитову сесію використовується таблиця відповідності оцінювання знань студентів за різними системами.</w:t>
            </w:r>
            <w:r>
              <w:rPr>
                <w:rFonts w:ascii="Times" w:hAnsi="Times" w:eastAsia="Times" w:cs="Times"/>
                <w:shd w:val="clear" w:color="auto" w:fill="FFFFFF"/>
              </w:rPr>
              <w:t> </w:t>
            </w:r>
          </w:p>
          <w:p>
            <w:pPr>
              <w:pStyle w:val="3"/>
              <w:spacing w:after="0"/>
              <w:jc w:val="both"/>
              <w:textAlignment w:val="baseline"/>
            </w:pPr>
            <w:r>
              <w:rPr>
                <w:rFonts w:ascii="Times" w:hAnsi="Times" w:eastAsia="Times" w:cs="Times"/>
                <w:shd w:val="clear" w:color="auto" w:fill="FFFFFF"/>
                <w:lang w:val="uk"/>
              </w:rPr>
              <w:t>Під час оцінювання знань, умінь і навичок студентів враховується:</w:t>
            </w:r>
            <w:r>
              <w:rPr>
                <w:rFonts w:ascii="Times" w:hAnsi="Times" w:eastAsia="Times" w:cs="Times"/>
                <w:shd w:val="clear" w:color="auto" w:fill="FFFFFF"/>
              </w:rPr>
              <w:t> </w:t>
            </w:r>
          </w:p>
          <w:p>
            <w:pPr>
              <w:pStyle w:val="3"/>
              <w:spacing w:after="0"/>
              <w:jc w:val="both"/>
              <w:textAlignment w:val="baseline"/>
            </w:pPr>
            <w:r>
              <w:rPr>
                <w:rFonts w:ascii="Times" w:hAnsi="Times" w:eastAsia="Times" w:cs="Times"/>
                <w:shd w:val="clear" w:color="auto" w:fill="FFFFFF"/>
                <w:lang w:val="uk"/>
              </w:rPr>
              <w:t>1) наявність і характер засвоєння знань з дисципліни (рівень усвідомлення, міцність запам'ятовування, обсяг, повнота і точність знань):</w:t>
            </w:r>
            <w:r>
              <w:rPr>
                <w:rFonts w:ascii="Times" w:hAnsi="Times" w:eastAsia="Times" w:cs="Times"/>
                <w:shd w:val="clear" w:color="auto" w:fill="FFFFFF"/>
              </w:rPr>
              <w:t> </w:t>
            </w:r>
          </w:p>
          <w:p>
            <w:pPr>
              <w:pStyle w:val="3"/>
              <w:spacing w:after="0"/>
              <w:jc w:val="both"/>
              <w:textAlignment w:val="baseline"/>
            </w:pPr>
            <w:r>
              <w:rPr>
                <w:rFonts w:ascii="Times" w:hAnsi="Times" w:eastAsia="Times" w:cs="Times"/>
                <w:shd w:val="clear" w:color="auto" w:fill="FFFFFF"/>
                <w:lang w:val="uk"/>
              </w:rPr>
              <w:t>2) якість актуалізації знань з дисципліни (логіка мислення, аргументація, послідовність і самостійність викладу, культура професійного мовлення);</w:t>
            </w:r>
            <w:r>
              <w:rPr>
                <w:rFonts w:ascii="Times" w:hAnsi="Times" w:eastAsia="Times" w:cs="Times"/>
                <w:shd w:val="clear" w:color="auto" w:fill="FFFFFF"/>
              </w:rPr>
              <w:t> </w:t>
            </w:r>
          </w:p>
          <w:p>
            <w:pPr>
              <w:pStyle w:val="3"/>
              <w:spacing w:after="0"/>
              <w:jc w:val="both"/>
              <w:textAlignment w:val="baseline"/>
            </w:pPr>
            <w:r>
              <w:rPr>
                <w:rFonts w:ascii="Times" w:hAnsi="Times" w:eastAsia="Times" w:cs="Times"/>
                <w:shd w:val="clear" w:color="auto" w:fill="FFFFFF"/>
                <w:lang w:val="uk"/>
              </w:rPr>
              <w:t>3) рівень сформованості умінь і навичок використання засвоєних знань на практиці;</w:t>
            </w:r>
            <w:r>
              <w:rPr>
                <w:rFonts w:ascii="Times" w:hAnsi="Times" w:eastAsia="Times" w:cs="Times"/>
                <w:shd w:val="clear" w:color="auto" w:fill="FFFFFF"/>
              </w:rPr>
              <w:t> </w:t>
            </w:r>
          </w:p>
          <w:p>
            <w:pPr>
              <w:pStyle w:val="3"/>
              <w:spacing w:after="0"/>
              <w:jc w:val="both"/>
              <w:textAlignment w:val="baseline"/>
            </w:pPr>
            <w:r>
              <w:rPr>
                <w:rFonts w:ascii="Times" w:hAnsi="Times" w:eastAsia="Times" w:cs="Times"/>
                <w:shd w:val="clear" w:color="auto" w:fill="FFFFFF"/>
                <w:lang w:val="uk"/>
              </w:rPr>
              <w:t>4) прояв творчості і самостійності в навчально-пізнавальній діяльності;</w:t>
            </w:r>
            <w:r>
              <w:rPr>
                <w:rFonts w:ascii="Times" w:hAnsi="Times" w:eastAsia="Times" w:cs="Times"/>
                <w:shd w:val="clear" w:color="auto" w:fill="FFFFFF"/>
              </w:rPr>
              <w:t> </w:t>
            </w:r>
          </w:p>
          <w:p>
            <w:pPr>
              <w:pStyle w:val="3"/>
              <w:spacing w:after="0"/>
              <w:jc w:val="both"/>
              <w:textAlignment w:val="baseline"/>
              <w:rPr>
                <w:rFonts w:ascii="Times New Roman" w:hAnsi="Times New Roman" w:cs="Times New Roman"/>
              </w:rPr>
            </w:pPr>
            <w:r>
              <w:rPr>
                <w:rFonts w:ascii="Times" w:hAnsi="Times" w:eastAsia="Times" w:cs="Times"/>
                <w:shd w:val="clear" w:color="auto" w:fill="FFFFFF"/>
                <w:lang w:val="uk"/>
              </w:rPr>
              <w:t>5) якість виконання самостійної навчальної роботи (зовнішнє оформлення, своєчасність виконання, ретельність тощо).</w:t>
            </w:r>
            <w:r>
              <w:rPr>
                <w:rFonts w:ascii="Times" w:hAnsi="Times" w:eastAsia="Times" w:cs="Times"/>
                <w:shd w:val="clear" w:color="auto" w:fill="FFFFFF"/>
              </w:rPr>
              <w:t> </w:t>
            </w:r>
          </w:p>
          <w:p>
            <w:pPr>
              <w:tabs>
                <w:tab w:val="left" w:pos="284"/>
                <w:tab w:val="left" w:pos="567"/>
              </w:tabs>
              <w:spacing w:after="0" w:line="240" w:lineRule="auto"/>
              <w:jc w:val="both"/>
              <w:rPr>
                <w:rFonts w:ascii="Times New Roman" w:hAnsi="Times New Roman" w:cs="Times New Roman"/>
                <w:sz w:val="24"/>
                <w:szCs w:val="24"/>
              </w:rPr>
            </w:pPr>
          </w:p>
          <w:p>
            <w:pPr>
              <w:pStyle w:val="2"/>
              <w:jc w:val="center"/>
              <w:rPr>
                <w:b/>
                <w:bCs/>
                <w:sz w:val="24"/>
                <w:lang w:val="uk-UA"/>
              </w:rPr>
            </w:pPr>
            <w:r>
              <w:rPr>
                <w:b/>
                <w:bCs/>
                <w:sz w:val="24"/>
                <w:lang w:val="uk-UA"/>
              </w:rPr>
              <w:t>Шкала оцінювання модульної контрольної роботи</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3894"/>
            </w:tblGrid>
            <w:tr>
              <w:tc>
                <w:tcPr>
                  <w:tcW w:w="4261" w:type="dxa"/>
                </w:tcPr>
                <w:p>
                  <w:pPr>
                    <w:pStyle w:val="2"/>
                    <w:rPr>
                      <w:b/>
                      <w:bCs/>
                      <w:sz w:val="24"/>
                      <w:lang w:val="uk-UA"/>
                    </w:rPr>
                  </w:pPr>
                  <w:r>
                    <w:rPr>
                      <w:b/>
                      <w:bCs/>
                      <w:sz w:val="24"/>
                      <w:lang w:val="uk-UA"/>
                    </w:rPr>
                    <w:t>Кількість балів</w:t>
                  </w:r>
                </w:p>
              </w:tc>
              <w:tc>
                <w:tcPr>
                  <w:tcW w:w="4261" w:type="dxa"/>
                </w:tcPr>
                <w:p>
                  <w:pPr>
                    <w:pStyle w:val="2"/>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10</w:t>
                  </w:r>
                </w:p>
              </w:tc>
              <w:tc>
                <w:tcPr>
                  <w:tcW w:w="4261" w:type="dxa"/>
                </w:tcPr>
                <w:p>
                  <w:pPr>
                    <w:pStyle w:val="2"/>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9</w:t>
                  </w:r>
                </w:p>
              </w:tc>
              <w:tc>
                <w:tcPr>
                  <w:tcW w:w="4261" w:type="dxa"/>
                </w:tcPr>
                <w:p>
                  <w:pPr>
                    <w:pStyle w:val="2"/>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8</w:t>
                  </w:r>
                </w:p>
              </w:tc>
              <w:tc>
                <w:tcPr>
                  <w:tcW w:w="4261" w:type="dxa"/>
                </w:tcPr>
                <w:p>
                  <w:pPr>
                    <w:pStyle w:val="2"/>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7</w:t>
                  </w:r>
                </w:p>
              </w:tc>
              <w:tc>
                <w:tcPr>
                  <w:tcW w:w="4261" w:type="dxa"/>
                </w:tcPr>
                <w:p>
                  <w:pPr>
                    <w:pStyle w:val="2"/>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6</w:t>
                  </w:r>
                </w:p>
              </w:tc>
              <w:tc>
                <w:tcPr>
                  <w:tcW w:w="4261" w:type="dxa"/>
                </w:tcPr>
                <w:p>
                  <w:pPr>
                    <w:pStyle w:val="2"/>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5</w:t>
                  </w:r>
                </w:p>
              </w:tc>
              <w:tc>
                <w:tcPr>
                  <w:tcW w:w="4261" w:type="dxa"/>
                </w:tcPr>
                <w:p>
                  <w:pPr>
                    <w:pStyle w:val="2"/>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4</w:t>
                  </w:r>
                </w:p>
              </w:tc>
              <w:tc>
                <w:tcPr>
                  <w:tcW w:w="4261" w:type="dxa"/>
                </w:tcPr>
                <w:p>
                  <w:pPr>
                    <w:pStyle w:val="2"/>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3</w:t>
                  </w:r>
                </w:p>
              </w:tc>
              <w:tc>
                <w:tcPr>
                  <w:tcW w:w="4261" w:type="dxa"/>
                </w:tcPr>
                <w:p>
                  <w:pPr>
                    <w:pStyle w:val="2"/>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2</w:t>
                  </w:r>
                </w:p>
              </w:tc>
              <w:tc>
                <w:tcPr>
                  <w:tcW w:w="4261" w:type="dxa"/>
                </w:tcPr>
                <w:p>
                  <w:pPr>
                    <w:pStyle w:val="2"/>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1</w:t>
                  </w:r>
                </w:p>
              </w:tc>
              <w:tc>
                <w:tcPr>
                  <w:tcW w:w="4261" w:type="dxa"/>
                </w:tcPr>
                <w:p>
                  <w:pPr>
                    <w:pStyle w:val="2"/>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2"/>
                    <w:rPr>
                      <w:bCs/>
                      <w:sz w:val="24"/>
                      <w:lang w:val="uk-UA"/>
                    </w:rPr>
                  </w:pPr>
                  <w:r>
                    <w:rPr>
                      <w:bCs/>
                      <w:sz w:val="24"/>
                      <w:lang w:val="uk-UA"/>
                    </w:rPr>
                    <w:t xml:space="preserve"> 0</w:t>
                  </w:r>
                </w:p>
              </w:tc>
              <w:tc>
                <w:tcPr>
                  <w:tcW w:w="4261" w:type="dxa"/>
                </w:tcPr>
                <w:p>
                  <w:pPr>
                    <w:pStyle w:val="2"/>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«Друга іноземна мова». </w:t>
            </w:r>
            <w:r>
              <w:rPr>
                <w:rFonts w:ascii="Times New Roman" w:hAnsi="Times New Roman" w:eastAsia="SimSun" w:cs="Times New Roman"/>
                <w:color w:val="000000"/>
                <w:sz w:val="24"/>
                <w:szCs w:val="24"/>
                <w:shd w:val="clear" w:color="auto" w:fill="FFFFFF"/>
                <w:lang w:val="uk"/>
              </w:rPr>
              <w:t>Зміст СРС з дисципліни «</w:t>
            </w:r>
            <w:r>
              <w:rPr>
                <w:rFonts w:ascii="Times New Roman" w:hAnsi="Times New Roman" w:eastAsia="SimSun" w:cs="Times New Roman"/>
                <w:color w:val="000000"/>
                <w:sz w:val="24"/>
                <w:szCs w:val="24"/>
                <w:shd w:val="clear" w:color="auto" w:fill="FFFFFF"/>
              </w:rPr>
              <w:t>Друга</w:t>
            </w:r>
            <w:r>
              <w:rPr>
                <w:rFonts w:ascii="Times New Roman" w:hAnsi="Times New Roman" w:eastAsia="SimSun" w:cs="Times New Roman"/>
                <w:b/>
                <w:color w:val="000000"/>
                <w:sz w:val="24"/>
                <w:szCs w:val="24"/>
                <w:shd w:val="clear" w:color="auto" w:fill="FFFFFF"/>
                <w:lang w:val="uk"/>
              </w:rPr>
              <w:t xml:space="preserve"> іноземна мова</w:t>
            </w:r>
            <w:r>
              <w:rPr>
                <w:rFonts w:ascii="Times New Roman" w:hAnsi="Times New Roman" w:eastAsia="SimSun" w:cs="Times New Roman"/>
                <w:color w:val="000000"/>
                <w:sz w:val="24"/>
                <w:szCs w:val="24"/>
                <w:shd w:val="clear" w:color="auto" w:fill="FFFFFF"/>
                <w:lang w:val="uk"/>
              </w:rPr>
              <w:t>» складається з</w:t>
            </w:r>
            <w:r>
              <w:rPr>
                <w:rFonts w:ascii="Times New Roman" w:hAnsi="Times New Roman" w:eastAsia="SimSun" w:cs="Times New Roman"/>
                <w:color w:val="000000"/>
                <w:sz w:val="24"/>
                <w:szCs w:val="24"/>
                <w:shd w:val="clear" w:color="auto" w:fill="FFFFFF"/>
              </w:rPr>
              <w:t xml:space="preserve"> таких видів роботи:</w:t>
            </w:r>
            <w:r>
              <w:rPr>
                <w:rFonts w:ascii="Times New Roman" w:hAnsi="Times New Roman" w:eastAsia="SimSun" w:cs="Times New Roman"/>
                <w:color w:val="000000"/>
                <w:sz w:val="24"/>
                <w:szCs w:val="24"/>
                <w:shd w:val="clear" w:color="auto" w:fill="FFFFFF"/>
                <w:lang w:val="uk"/>
              </w:rPr>
              <w:t xml:space="preserve"> підготовка письмових робіт (листа від читача, резюме, коментаря, тексту доповіді та роздаткового матеріалу для неї, скороченого викладу), виконання практичних завдань, вправ на засвоєння лексики і граматичних тем, створення проектів за відповідними темами («</w:t>
            </w:r>
            <w:r>
              <w:rPr>
                <w:rFonts w:ascii="Times New Roman" w:hAnsi="Times New Roman" w:eastAsia="SimSun" w:cs="Times New Roman"/>
                <w:color w:val="000000"/>
                <w:sz w:val="24"/>
                <w:szCs w:val="24"/>
                <w:shd w:val="clear" w:color="auto" w:fill="FFFFFF"/>
              </w:rPr>
              <w:t>Мої поради у вивченні іноземної мови</w:t>
            </w:r>
            <w:r>
              <w:rPr>
                <w:rFonts w:ascii="Times New Roman" w:hAnsi="Times New Roman" w:eastAsia="SimSun" w:cs="Times New Roman"/>
                <w:color w:val="000000"/>
                <w:sz w:val="24"/>
                <w:szCs w:val="24"/>
                <w:shd w:val="clear" w:color="auto" w:fill="FFFFFF"/>
                <w:lang w:val="uk"/>
              </w:rPr>
              <w:t>», «</w:t>
            </w:r>
            <w:r>
              <w:rPr>
                <w:rFonts w:ascii="Times New Roman" w:hAnsi="Times New Roman" w:eastAsia="SimSun" w:cs="Times New Roman"/>
                <w:color w:val="000000"/>
                <w:sz w:val="24"/>
                <w:szCs w:val="24"/>
                <w:shd w:val="clear" w:color="auto" w:fill="FFFFFF"/>
              </w:rPr>
              <w:t>Ідеальний корпоративний тімбілдинг</w:t>
            </w:r>
            <w:r>
              <w:rPr>
                <w:rFonts w:ascii="Times New Roman" w:hAnsi="Times New Roman" w:eastAsia="SimSun" w:cs="Times New Roman"/>
                <w:color w:val="000000"/>
                <w:sz w:val="24"/>
                <w:szCs w:val="24"/>
                <w:shd w:val="clear" w:color="auto" w:fill="FFFFFF"/>
                <w:lang w:val="uk"/>
              </w:rPr>
              <w:t>», «</w:t>
            </w:r>
            <w:r>
              <w:rPr>
                <w:rFonts w:ascii="Times New Roman" w:hAnsi="Times New Roman" w:eastAsia="SimSun" w:cs="Times New Roman"/>
                <w:color w:val="000000"/>
                <w:sz w:val="24"/>
                <w:szCs w:val="24"/>
                <w:shd w:val="clear" w:color="auto" w:fill="FFFFFF"/>
              </w:rPr>
              <w:t>Як я розумію бідність</w:t>
            </w:r>
            <w:r>
              <w:rPr>
                <w:rFonts w:ascii="Times New Roman" w:hAnsi="Times New Roman" w:eastAsia="SimSun" w:cs="Times New Roman"/>
                <w:color w:val="000000"/>
                <w:sz w:val="24"/>
                <w:szCs w:val="24"/>
                <w:shd w:val="clear" w:color="auto" w:fill="FFFFFF"/>
                <w:lang w:val="uk"/>
              </w:rPr>
              <w:t>», «</w:t>
            </w:r>
            <w:r>
              <w:rPr>
                <w:rFonts w:ascii="Times New Roman" w:hAnsi="Times New Roman" w:eastAsia="SimSun" w:cs="Times New Roman"/>
                <w:color w:val="000000"/>
                <w:sz w:val="24"/>
                <w:szCs w:val="24"/>
                <w:shd w:val="clear" w:color="auto" w:fill="FFFFFF"/>
              </w:rPr>
              <w:t>Освіта у німецькомовних країнах</w:t>
            </w:r>
            <w:r>
              <w:rPr>
                <w:rFonts w:ascii="Times New Roman" w:hAnsi="Times New Roman" w:eastAsia="SimSun" w:cs="Times New Roman"/>
                <w:color w:val="000000"/>
                <w:sz w:val="24"/>
                <w:szCs w:val="24"/>
                <w:shd w:val="clear" w:color="auto" w:fill="FFFFFF"/>
                <w:lang w:val="uk"/>
              </w:rPr>
              <w:t>», «</w:t>
            </w:r>
            <w:r>
              <w:rPr>
                <w:rFonts w:ascii="Times New Roman" w:hAnsi="Times New Roman" w:eastAsia="SimSun" w:cs="Times New Roman"/>
                <w:color w:val="000000"/>
                <w:sz w:val="24"/>
                <w:szCs w:val="24"/>
                <w:shd w:val="clear" w:color="auto" w:fill="FFFFFF"/>
              </w:rPr>
              <w:t>У чому полягає цінність співжиття різних поколінь?</w:t>
            </w:r>
            <w:r>
              <w:rPr>
                <w:rFonts w:ascii="Times New Roman" w:hAnsi="Times New Roman" w:eastAsia="SimSun" w:cs="Times New Roman"/>
                <w:color w:val="000000"/>
                <w:sz w:val="24"/>
                <w:szCs w:val="24"/>
                <w:shd w:val="clear" w:color="auto" w:fill="FFFFFF"/>
                <w:lang w:val="uk"/>
              </w:rPr>
              <w:t>», «</w:t>
            </w:r>
            <w:r>
              <w:rPr>
                <w:rFonts w:ascii="Times New Roman" w:hAnsi="Times New Roman" w:eastAsia="SimSun" w:cs="Times New Roman"/>
                <w:color w:val="000000"/>
                <w:sz w:val="24"/>
                <w:szCs w:val="24"/>
                <w:shd w:val="clear" w:color="auto" w:fill="FFFFFF"/>
              </w:rPr>
              <w:t>Що я можу зробити для навколишнього середовища?</w:t>
            </w:r>
            <w:r>
              <w:rPr>
                <w:rFonts w:ascii="Times New Roman" w:hAnsi="Times New Roman" w:eastAsia="SimSun" w:cs="Times New Roman"/>
                <w:color w:val="000000"/>
                <w:sz w:val="24"/>
                <w:szCs w:val="24"/>
                <w:shd w:val="clear" w:color="auto" w:fill="FFFFFF"/>
                <w:lang w:val="uk"/>
              </w:rPr>
              <w:t>», «</w:t>
            </w:r>
            <w:r>
              <w:rPr>
                <w:rFonts w:ascii="Times New Roman" w:hAnsi="Times New Roman" w:eastAsia="SimSun" w:cs="Times New Roman"/>
                <w:color w:val="000000"/>
                <w:sz w:val="24"/>
                <w:szCs w:val="24"/>
                <w:shd w:val="clear" w:color="auto" w:fill="FFFFFF"/>
              </w:rPr>
              <w:t xml:space="preserve">Інтернет </w:t>
            </w:r>
            <w:r>
              <w:rPr>
                <w:rFonts w:ascii="Times New Roman" w:hAnsi="Times New Roman" w:cs="Times New Roman"/>
                <w:bCs/>
                <w:sz w:val="24"/>
              </w:rPr>
              <w:t>– дар чи прокляття?</w:t>
            </w:r>
            <w:r>
              <w:rPr>
                <w:rFonts w:ascii="Times New Roman" w:hAnsi="Times New Roman" w:eastAsia="SimSun" w:cs="Times New Roman"/>
                <w:color w:val="000000"/>
                <w:sz w:val="24"/>
                <w:szCs w:val="24"/>
                <w:shd w:val="clear" w:color="auto" w:fill="FFFFFF"/>
                <w:lang w:val="uk"/>
              </w:rPr>
              <w:t>»)</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6760"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rPr>
            </w:pPr>
            <w:r>
              <w:rPr>
                <w:rFonts w:ascii="Times New Roman" w:hAnsi="Times New Roman" w:eastAsia="SimSun" w:cs="Times New Roman"/>
                <w:b/>
                <w:color w:val="000000"/>
                <w:sz w:val="24"/>
                <w:szCs w:val="24"/>
                <w:u w:val="single"/>
                <w:shd w:val="clear" w:color="auto" w:fill="FFFFFF"/>
                <w:lang w:val="uk"/>
              </w:rPr>
              <w:t>Лексичні теми:</w:t>
            </w:r>
            <w:r>
              <w:rPr>
                <w:rFonts w:ascii="Times New Roman" w:hAnsi="Times New Roman" w:eastAsia="SimSun" w:cs="Times New Roman"/>
                <w:color w:val="000000"/>
                <w:sz w:val="24"/>
                <w:szCs w:val="24"/>
                <w:shd w:val="clear" w:color="auto" w:fill="FFFFFF"/>
              </w:rPr>
              <w:t> </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Worin besteht der Beruf des Übersetzers?</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Worin besteht der Beruf des Dolmetschers?</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Welche Rolle spielt Kunst in Ihrem Leben?</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Reisen und Mobilität in der globalisierten Welt.</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Umweltschutz und Abfallentsorgung als Rettungschance für unseren Planeten.</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Ihre Tipps für gesunde Lebensweise.</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Rolle der Fremdsprachen in der globalisierten Welt.</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Wie gestaltet man eine erfolgreiche berufliche Laufbahn?</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Wie kann man alles schaffen? Ihre Tipps für Zeitmanagement.</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Konsum in der globalisierten Welt, Einfluss der Werbung auf moderne Gesellschaft.</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Zwischenmenschliche Beziehungen, Partnersuche und Lebensformen.</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Auswandern: pro / contra.</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Welche Freizeitaktivitäten bevorzugen Sie?</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Wie stellen Sie sich Ihre berufliche Zukunft vor?</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Ihre Tipps für gesunde Lebensweise.</w:t>
            </w:r>
          </w:p>
          <w:p>
            <w:pPr>
              <w:tabs>
                <w:tab w:val="left" w:pos="284"/>
                <w:tab w:val="left" w:pos="567"/>
              </w:tabs>
              <w:spacing w:after="0" w:line="240" w:lineRule="auto"/>
              <w:jc w:val="both"/>
              <w:rPr>
                <w:rFonts w:ascii="Times New Roman" w:hAnsi="Times New Roman" w:eastAsia="SimSun"/>
                <w:color w:val="000000"/>
                <w:sz w:val="24"/>
                <w:szCs w:val="24"/>
                <w:shd w:val="clear" w:color="auto" w:fill="FFFFFF"/>
                <w:lang w:eastAsia="uk-UA"/>
              </w:rPr>
            </w:pPr>
          </w:p>
          <w:p>
            <w:p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rPr>
            </w:pPr>
            <w:r>
              <w:rPr>
                <w:rFonts w:ascii="Times New Roman" w:hAnsi="Times New Roman" w:eastAsia="SimSun" w:cs="Times New Roman"/>
                <w:b/>
                <w:color w:val="000000"/>
                <w:sz w:val="24"/>
                <w:szCs w:val="24"/>
                <w:u w:val="single"/>
                <w:shd w:val="clear" w:color="auto" w:fill="FFFFFF"/>
                <w:lang w:val="uk"/>
              </w:rPr>
              <w:t>Граматичні теми:</w:t>
            </w:r>
            <w:r>
              <w:rPr>
                <w:rFonts w:ascii="Times New Roman" w:hAnsi="Times New Roman" w:eastAsia="SimSun" w:cs="Times New Roman"/>
                <w:color w:val="000000"/>
                <w:sz w:val="24"/>
                <w:szCs w:val="24"/>
                <w:shd w:val="clear" w:color="auto" w:fill="FFFFFF"/>
              </w:rPr>
              <w:t> </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Präsens.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Präteritum.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Perfekt.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Plusquamperfekt.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Futur I.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Modalverben.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Deklination der Asjektive.</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Deklination der Substantive.</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Präpositionen (mit Genitiv, Dativ, Akkusativ; Wechselpräpositionen).</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Infinitivkonstruktionen.</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Konjunktiv II.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Passiv. Bedeutung und Gebrauch.</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Temporalsatz.</w:t>
            </w:r>
          </w:p>
          <w:p>
            <w:pPr>
              <w:tabs>
                <w:tab w:val="left" w:pos="284"/>
                <w:tab w:val="left" w:pos="567"/>
              </w:tabs>
              <w:spacing w:after="0" w:line="360" w:lineRule="auto"/>
              <w:jc w:val="both"/>
              <w:rPr>
                <w:rFonts w:ascii="Times New Roman" w:hAnsi="Times New Roman" w:eastAsia="SimSun" w:cs="Times New Roma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Kausalsatz.</w:t>
            </w:r>
          </w:p>
          <w:p>
            <w:pPr>
              <w:tabs>
                <w:tab w:val="left" w:pos="284"/>
                <w:tab w:val="left" w:pos="567"/>
              </w:tabs>
              <w:spacing w:after="0" w:line="360" w:lineRule="auto"/>
              <w:jc w:val="both"/>
              <w:rPr>
                <w:rFonts w:ascii="Times New Roman" w:hAnsi="Times New Roman" w:eastAsia="SimSun"/>
                <w:color w:val="000000"/>
                <w:sz w:val="24"/>
                <w:szCs w:val="24"/>
                <w:shd w:val="clear" w:color="auto" w:fill="FFFFFF"/>
                <w:lang w:eastAsia="uk-UA"/>
              </w:rPr>
            </w:pPr>
            <w:r>
              <w:rPr>
                <w:rFonts w:ascii="Times New Roman" w:hAnsi="Times New Roman" w:eastAsia="SimSun" w:cs="Times New Roman"/>
                <w:color w:val="000000"/>
                <w:sz w:val="24"/>
                <w:szCs w:val="24"/>
                <w:shd w:val="clear" w:color="auto" w:fill="FFFFFF"/>
                <w:lang w:eastAsia="uk-UA"/>
              </w:rPr>
              <w:t>Objektsatz.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67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після завершення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2"/>
        <w:ind w:firstLine="708"/>
        <w:jc w:val="both"/>
        <w:rPr>
          <w:b/>
          <w:bCs/>
          <w:sz w:val="24"/>
          <w:lang w:val="uk-UA"/>
        </w:rPr>
      </w:pPr>
    </w:p>
    <w:p>
      <w:pPr>
        <w:ind w:left="426"/>
        <w:jc w:val="both"/>
        <w:rPr>
          <w:rFonts w:ascii="Times New Roman" w:hAnsi="Times New Roman" w:cs="Times New Roman"/>
          <w:bCs/>
          <w:spacing w:val="-6"/>
          <w:sz w:val="24"/>
        </w:rPr>
      </w:pPr>
    </w:p>
    <w:p>
      <w:pPr>
        <w:rPr>
          <w:rFonts w:ascii="Times New Roman" w:hAnsi="Times New Roman" w:cs="Times New Roman"/>
        </w:rPr>
      </w:pPr>
      <w:bookmarkStart w:id="0" w:name="_GoBack"/>
      <w:bookmarkEnd w:id="0"/>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egoe UI">
    <w:altName w:val="苹方-简"/>
    <w:panose1 w:val="020B0502040204020203"/>
    <w:charset w:val="00"/>
    <w:family w:val="swiss"/>
    <w:pitch w:val="default"/>
    <w:sig w:usb0="00000000" w:usb1="00000000" w:usb2="00000009" w:usb3="00000000" w:csb0="000001FF" w:csb1="00000000"/>
  </w:font>
  <w:font w:name="Times">
    <w:panose1 w:val="00000500000000020000"/>
    <w:charset w:val="00"/>
    <w:family w:val="auto"/>
    <w:pitch w:val="default"/>
    <w:sig w:usb0="E00002FF" w:usb1="5000205A" w:usb2="00000000" w:usb3="00000000" w:csb0="2000019F" w:csb1="4F010000"/>
  </w:font>
  <w:font w:name="Calibri Light">
    <w:altName w:val="Helvetica Neue"/>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2ACC"/>
    <w:multiLevelType w:val="singleLevel"/>
    <w:tmpl w:val="09242ACC"/>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6345D"/>
    <w:rsid w:val="00040D45"/>
    <w:rsid w:val="0006148F"/>
    <w:rsid w:val="0055111D"/>
    <w:rsid w:val="00D93A00"/>
    <w:rsid w:val="04C268A9"/>
    <w:rsid w:val="07C1282F"/>
    <w:rsid w:val="0F1D46B9"/>
    <w:rsid w:val="0FCA6010"/>
    <w:rsid w:val="1179BB7B"/>
    <w:rsid w:val="11F456B3"/>
    <w:rsid w:val="12CFE766"/>
    <w:rsid w:val="153C41FD"/>
    <w:rsid w:val="28F6379A"/>
    <w:rsid w:val="2A3D3B31"/>
    <w:rsid w:val="2C7CFA6F"/>
    <w:rsid w:val="2D6E0DD2"/>
    <w:rsid w:val="33EB32AB"/>
    <w:rsid w:val="3875744D"/>
    <w:rsid w:val="4526345D"/>
    <w:rsid w:val="490D73A3"/>
    <w:rsid w:val="49B33630"/>
    <w:rsid w:val="4B02FD25"/>
    <w:rsid w:val="4E6F29E5"/>
    <w:rsid w:val="4FA02C25"/>
    <w:rsid w:val="51393919"/>
    <w:rsid w:val="5457EC92"/>
    <w:rsid w:val="569B94EF"/>
    <w:rsid w:val="59135F49"/>
    <w:rsid w:val="5A5721C0"/>
    <w:rsid w:val="5BDC32C8"/>
    <w:rsid w:val="5DB50070"/>
    <w:rsid w:val="666D013E"/>
    <w:rsid w:val="66F01773"/>
    <w:rsid w:val="68BD0E25"/>
    <w:rsid w:val="6B4F48DC"/>
    <w:rsid w:val="721E7E27"/>
    <w:rsid w:val="771D1F7C"/>
    <w:rsid w:val="7808DCD2"/>
    <w:rsid w:val="FFAAB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line="240" w:lineRule="auto"/>
    </w:pPr>
    <w:rPr>
      <w:rFonts w:ascii="Times New Roman" w:hAnsi="Times New Roman" w:eastAsia="Times New Roman" w:cs="Times New Roman"/>
      <w:sz w:val="28"/>
      <w:szCs w:val="24"/>
      <w:lang w:val="ru-RU" w:eastAsia="ru-RU"/>
    </w:rPr>
  </w:style>
  <w:style w:type="paragraph" w:styleId="3">
    <w:name w:val="Normal (Web)"/>
    <w:basedOn w:val="1"/>
    <w:uiPriority w:val="0"/>
    <w:rPr>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2532</Words>
  <Characters>14437</Characters>
  <Lines>120</Lines>
  <Paragraphs>33</Paragraphs>
  <TotalTime>0</TotalTime>
  <ScaleCrop>false</ScaleCrop>
  <LinksUpToDate>false</LinksUpToDate>
  <CharactersWithSpaces>16936</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2020-02-10T02:37:00Z</dcterms:created>
  <dc:creator>tanya</dc:creator>
  <cp:lastModifiedBy>olgadenys</cp:lastModifiedBy>
  <dcterms:modified xsi:type="dcterms:W3CDTF">2021-02-18T18:09:08Z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