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С И Л А Б У С</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Граматичні аспекти перекладу</w:t>
      </w:r>
    </w:p>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r>
        <w:rPr>
          <w:rFonts w:ascii="Times New Roman" w:hAnsi="Times New Roman" w:cs="Times New Roman"/>
          <w:b/>
          <w:sz w:val="28"/>
          <w:szCs w:val="28"/>
          <w:lang w:val="ru-RU"/>
        </w:rPr>
        <w:t xml:space="preserve">Освітній рівень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бакалавр</w:t>
      </w:r>
    </w:p>
    <w:p>
      <w:pPr>
        <w:tabs>
          <w:tab w:val="left" w:pos="2127"/>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Галузь знань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 xml:space="preserve">03 </w:t>
      </w:r>
      <w:r>
        <w:rPr>
          <w:rFonts w:ascii="Times New Roman" w:hAnsi="Times New Roman" w:cs="Times New Roman"/>
          <w:b/>
          <w:sz w:val="28"/>
          <w:szCs w:val="28"/>
        </w:rPr>
        <w:t>Г</w:t>
      </w:r>
      <w:r>
        <w:rPr>
          <w:rFonts w:ascii="Times New Roman" w:hAnsi="Times New Roman" w:cs="Times New Roman"/>
          <w:b/>
          <w:sz w:val="28"/>
          <w:szCs w:val="28"/>
          <w:lang w:val="ru-RU"/>
        </w:rPr>
        <w:t>уманітарні науки</w:t>
      </w:r>
    </w:p>
    <w:p>
      <w:pPr>
        <w:rPr>
          <w:rFonts w:ascii="Times New Roman" w:hAnsi="Times New Roman" w:cs="Times New Roman"/>
          <w:b/>
          <w:sz w:val="28"/>
          <w:szCs w:val="28"/>
          <w:lang w:val="ru-RU"/>
        </w:rPr>
      </w:pPr>
      <w:r>
        <w:rPr>
          <w:rFonts w:ascii="Times New Roman" w:hAnsi="Times New Roman" w:cs="Times New Roman"/>
          <w:b/>
          <w:sz w:val="28"/>
          <w:szCs w:val="28"/>
          <w:lang w:val="ru-RU"/>
        </w:rPr>
        <w:t xml:space="preserve">Спеціальність </w:t>
      </w:r>
      <w:r>
        <w:rPr>
          <w:rFonts w:ascii="Times New Roman" w:hAnsi="Times New Roman" w:cs="Times New Roman"/>
          <w:b/>
          <w:sz w:val="28"/>
          <w:szCs w:val="28"/>
          <w:lang w:val="ru-RU"/>
        </w:rPr>
        <w:tab/>
      </w:r>
      <w:r>
        <w:rPr>
          <w:rFonts w:ascii="Times New Roman" w:hAnsi="Times New Roman" w:cs="Times New Roman"/>
          <w:b/>
          <w:sz w:val="28"/>
          <w:szCs w:val="28"/>
          <w:lang w:val="ru-RU"/>
        </w:rPr>
        <w:tab/>
      </w:r>
      <w:r>
        <w:rPr>
          <w:rFonts w:ascii="Times New Roman" w:hAnsi="Times New Roman" w:cs="Times New Roman"/>
          <w:b/>
          <w:sz w:val="28"/>
          <w:szCs w:val="28"/>
          <w:lang w:val="ru-RU"/>
        </w:rPr>
        <w:t>035 Філологія</w:t>
      </w:r>
    </w:p>
    <w:p>
      <w:pPr>
        <w:ind w:left="2832" w:hanging="2832"/>
        <w:rPr>
          <w:rFonts w:ascii="Times New Roman" w:hAnsi="Times New Roman" w:cs="Times New Roman"/>
          <w:b/>
          <w:sz w:val="28"/>
          <w:szCs w:val="28"/>
          <w:lang w:val="ru-RU"/>
        </w:rPr>
      </w:pPr>
      <w:r>
        <w:rPr>
          <w:rFonts w:ascii="Times New Roman" w:hAnsi="Times New Roman" w:cs="Times New Roman"/>
          <w:b/>
          <w:sz w:val="28"/>
          <w:szCs w:val="28"/>
          <w:lang w:val="ru-RU"/>
        </w:rPr>
        <w:t xml:space="preserve">Спеціалізація </w:t>
      </w:r>
      <w:r>
        <w:rPr>
          <w:rFonts w:ascii="Times New Roman" w:hAnsi="Times New Roman" w:cs="Times New Roman"/>
          <w:b/>
          <w:sz w:val="28"/>
          <w:szCs w:val="28"/>
          <w:lang w:val="ru-RU"/>
        </w:rPr>
        <w:tab/>
      </w:r>
      <w:r>
        <w:rPr>
          <w:rFonts w:ascii="Times New Roman" w:hAnsi="Times New Roman" w:cs="Times New Roman"/>
          <w:b/>
          <w:sz w:val="28"/>
          <w:szCs w:val="28"/>
          <w:lang w:val="ru-RU"/>
        </w:rPr>
        <w:t>035.04 Германські мови та літератури (переклад включно)</w:t>
      </w:r>
    </w:p>
    <w:p>
      <w:pPr>
        <w:rPr>
          <w:rFonts w:ascii="Times New Roman" w:hAnsi="Times New Roman" w:cs="Times New Roman"/>
          <w:b/>
          <w:sz w:val="28"/>
          <w:szCs w:val="28"/>
          <w:lang w:val="ru-RU"/>
        </w:rPr>
      </w:pPr>
      <w:r>
        <w:rPr>
          <w:rFonts w:ascii="Times New Roman" w:hAnsi="Times New Roman" w:cs="Times New Roman"/>
          <w:b/>
          <w:sz w:val="28"/>
          <w:szCs w:val="28"/>
        </w:rPr>
        <w:t>Освітня програма</w:t>
      </w:r>
      <w:r>
        <w:rPr>
          <w:rFonts w:ascii="Times New Roman" w:hAnsi="Times New Roman" w:cs="Times New Roman"/>
          <w:b/>
          <w:sz w:val="28"/>
          <w:szCs w:val="28"/>
        </w:rPr>
        <w:tab/>
      </w:r>
      <w:r>
        <w:rPr>
          <w:rFonts w:ascii="Times New Roman" w:hAnsi="Times New Roman" w:cs="Times New Roman"/>
          <w:b/>
          <w:sz w:val="28"/>
          <w:szCs w:val="28"/>
          <w:lang w:val="ru-RU"/>
        </w:rPr>
        <w:t>«Переклад (німецька мова)»</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Львів – 2020 рік</w:t>
      </w:r>
      <w:r>
        <w:rPr>
          <w:rFonts w:ascii="Times New Roman" w:hAnsi="Times New Roman" w:cs="Times New Roman"/>
          <w:b/>
          <w:sz w:val="28"/>
          <w:szCs w:val="28"/>
          <w:lang w:val="ru-RU"/>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«Граматичні аспекти перекладу»</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rPr>
              <w:t>Граматичні аспекти перекладу</w:t>
            </w:r>
          </w:p>
        </w:tc>
      </w:tr>
      <w:tr>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Івана Франка, м. Львів, вул. Університетська</w:t>
            </w:r>
            <w:r>
              <w:rPr>
                <w:rFonts w:ascii="Times New Roman" w:hAnsi="Times New Roman" w:cs="Times New Roman"/>
                <w:sz w:val="24"/>
                <w:szCs w:val="24"/>
                <w:lang w:val="ru-RU"/>
              </w:rPr>
              <w:t>,</w:t>
            </w:r>
            <w:r>
              <w:rPr>
                <w:rFonts w:ascii="Times New Roman" w:hAnsi="Times New Roman" w:cs="Times New Roman"/>
                <w:sz w:val="24"/>
                <w:szCs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кафедра міжкультурної комунікації та перекладу</w:t>
            </w:r>
          </w:p>
        </w:tc>
      </w:tr>
      <w:tr>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bCs/>
                <w:i/>
                <w:iCs/>
                <w:sz w:val="24"/>
                <w:szCs w:val="24"/>
              </w:rPr>
            </w:pPr>
            <w:r>
              <w:rPr>
                <w:rFonts w:ascii="Times New Roman" w:hAnsi="Times New Roman" w:cs="Times New Roman"/>
                <w:sz w:val="24"/>
                <w:szCs w:val="24"/>
              </w:rPr>
              <w:t xml:space="preserve">Спеціалізація </w:t>
            </w:r>
            <w:r>
              <w:rPr>
                <w:rFonts w:ascii="Times New Roman" w:hAnsi="Times New Roman" w:cs="Times New Roman"/>
                <w:bCs/>
                <w:i/>
                <w:iCs/>
                <w:sz w:val="24"/>
                <w:szCs w:val="24"/>
                <w:lang w:val="ru-RU"/>
              </w:rPr>
              <w:t>035.04 Германські мови та літератури (переклад включно)</w:t>
            </w:r>
          </w:p>
          <w:p>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Освітня програма</w:t>
            </w:r>
            <w:r>
              <w:rPr>
                <w:rFonts w:ascii="Times New Roman" w:hAnsi="Times New Roman" w:cs="Times New Roman"/>
                <w:i/>
                <w:sz w:val="24"/>
                <w:szCs w:val="24"/>
              </w:rPr>
              <w:tab/>
            </w:r>
            <w:r>
              <w:rPr>
                <w:rFonts w:ascii="Times New Roman" w:hAnsi="Times New Roman" w:cs="Times New Roman"/>
                <w:i/>
                <w:sz w:val="24"/>
                <w:szCs w:val="24"/>
              </w:rPr>
              <w:t>«Переклад (німецька мова)»</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ВИКЛАДАЧА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Прізвище, ім'я, по батькові</w:t>
            </w:r>
          </w:p>
        </w:tc>
        <w:tc>
          <w:tcPr>
            <w:tcW w:w="6486"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Шум'яцька Олександра Михайлівна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Науковий ступінь</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кандидат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Вчене звання</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Посада </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д</w:t>
            </w:r>
            <w:r>
              <w:rPr>
                <w:rFonts w:ascii="Times New Roman" w:hAnsi="Times New Roman" w:cs="Times New Roman"/>
                <w:sz w:val="24"/>
                <w:szCs w:val="24"/>
              </w:rPr>
              <w:t>оцент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 роботи</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Електронна адреса</w:t>
            </w:r>
          </w:p>
        </w:tc>
        <w:tc>
          <w:tcPr>
            <w:tcW w:w="6486" w:type="dxa"/>
          </w:tcPr>
          <w:p>
            <w:pPr>
              <w:spacing w:after="0" w:line="240" w:lineRule="auto"/>
              <w:rPr>
                <w:rFonts w:ascii="Times New Roman" w:hAnsi="Times New Roman" w:cs="Times New Roman"/>
                <w:sz w:val="24"/>
                <w:szCs w:val="24"/>
                <w:lang w:val="ru-RU"/>
              </w:rPr>
            </w:pPr>
            <w:r>
              <w:fldChar w:fldCharType="begin"/>
            </w:r>
            <w:r>
              <w:instrText xml:space="preserve"> HYPERLINK "mailto:oleksandra.shumiatska@lnu.edu.ua" </w:instrText>
            </w:r>
            <w:r>
              <w:fldChar w:fldCharType="separate"/>
            </w:r>
            <w:r>
              <w:rPr>
                <w:rStyle w:val="9"/>
                <w:rFonts w:ascii="Times New Roman" w:hAnsi="Times New Roman" w:cs="Times New Roman"/>
                <w:sz w:val="24"/>
                <w:szCs w:val="24"/>
                <w:lang w:val="ru-RU"/>
              </w:rPr>
              <w:t>oleksandra.shumiatska@lnu.edu.ua</w:t>
            </w:r>
            <w:r>
              <w:rPr>
                <w:rStyle w:val="9"/>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Сторінка викладача</w:t>
            </w:r>
          </w:p>
        </w:tc>
        <w:tc>
          <w:tcPr>
            <w:tcW w:w="6486" w:type="dxa"/>
          </w:tcPr>
          <w:p>
            <w:pPr>
              <w:spacing w:after="0" w:line="240" w:lineRule="auto"/>
              <w:rPr>
                <w:rFonts w:ascii="Times New Roman" w:hAnsi="Times New Roman" w:cs="Times New Roman"/>
                <w:b/>
                <w:sz w:val="24"/>
                <w:szCs w:val="24"/>
              </w:rPr>
            </w:pPr>
            <w:r>
              <w:fldChar w:fldCharType="begin"/>
            </w:r>
            <w:r>
              <w:instrText xml:space="preserve"> HYPERLINK "https://lingua.lnu.edu.ua/employee/shumyatska-oleksandra-myhajlivna" </w:instrText>
            </w:r>
            <w:r>
              <w:fldChar w:fldCharType="separate"/>
            </w:r>
            <w:r>
              <w:rPr>
                <w:rStyle w:val="9"/>
                <w:rFonts w:ascii="Times New Roman" w:hAnsi="Times New Roman" w:cs="Times New Roman"/>
                <w:sz w:val="24"/>
                <w:szCs w:val="24"/>
              </w:rPr>
              <w:t>https://lingua.lnu.edu.ua/employee/shumyatska-oleksandra-myhajlivna</w:t>
            </w:r>
            <w:r>
              <w:rPr>
                <w:rStyle w:val="9"/>
                <w:rFonts w:ascii="Times New Roman" w:hAnsi="Times New Roman" w:cs="Times New Roman"/>
                <w:sz w:val="24"/>
                <w:szCs w:val="24"/>
              </w:rPr>
              <w:fldChar w:fldCharType="end"/>
            </w:r>
            <w:r>
              <w:rPr>
                <w:rFonts w:ascii="Times New Roman" w:hAnsi="Times New Roman" w:cs="Times New Roman"/>
                <w:b/>
                <w:sz w:val="24"/>
                <w:szCs w:val="24"/>
              </w:rPr>
              <w:t xml:space="preserve"> </w:t>
            </w:r>
          </w:p>
        </w:tc>
      </w:tr>
    </w:tbl>
    <w:p>
      <w:pPr>
        <w:jc w:val="center"/>
        <w:rPr>
          <w:rFonts w:ascii="Times New Roman" w:hAnsi="Times New Roman" w:cs="Times New Roman"/>
          <w:b/>
          <w:sz w:val="24"/>
          <w:szCs w:val="24"/>
          <w:lang w:val="ru-RU"/>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КОНСУЛЬТАЦІЇ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Час</w:t>
            </w:r>
          </w:p>
        </w:tc>
        <w:tc>
          <w:tcPr>
            <w:tcW w:w="6486" w:type="dxa"/>
          </w:tcPr>
          <w:p>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Щочетверга, 13.30-15.20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німецької філології (м. Львів, вул. Університетська, 1, каб. 417)</w:t>
            </w:r>
          </w:p>
        </w:tc>
      </w:tr>
    </w:tbl>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КУРС</w:t>
      </w:r>
    </w:p>
    <w:tbl>
      <w:tblPr>
        <w:tblStyle w:val="11"/>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7229"/>
      </w:tblGrid>
      <w:tr>
        <w:tc>
          <w:tcPr>
            <w:tcW w:w="2694"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Сторінка курсу</w:t>
            </w:r>
          </w:p>
        </w:tc>
        <w:tc>
          <w:tcPr>
            <w:tcW w:w="7229" w:type="dxa"/>
          </w:tcPr>
          <w:p>
            <w:pPr>
              <w:spacing w:after="0" w:line="240" w:lineRule="auto"/>
              <w:jc w:val="both"/>
              <w:rPr>
                <w:rFonts w:ascii="Times New Roman" w:hAnsi="Times New Roman" w:cs="Times New Roman"/>
                <w:b/>
                <w:sz w:val="24"/>
                <w:szCs w:val="24"/>
                <w:lang w:val="ru-RU"/>
              </w:rPr>
            </w:pPr>
            <w:r>
              <w:fldChar w:fldCharType="begin"/>
            </w:r>
            <w:r>
              <w:instrText xml:space="preserve"> HYPERLINK "https://lingua.lnu.edu.ua/department/mizhkulturnoji-komunikatsiji-ta-perekladu" </w:instrText>
            </w:r>
            <w:r>
              <w:fldChar w:fldCharType="separate"/>
            </w:r>
            <w:r>
              <w:rPr>
                <w:rStyle w:val="9"/>
                <w:rFonts w:ascii="Times New Roman" w:hAnsi="Times New Roman" w:cs="Times New Roman"/>
                <w:sz w:val="24"/>
                <w:szCs w:val="24"/>
              </w:rPr>
              <w:t>https://lingua.lnu.edu.ua/department/mizhkulturnoji-komunikatsiji-ta-perekladu</w:t>
            </w:r>
            <w:r>
              <w:rPr>
                <w:rStyle w:val="9"/>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c>
          <w:tcPr>
            <w:tcW w:w="2694"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Коротка анотація курсу</w:t>
            </w:r>
          </w:p>
        </w:tc>
        <w:tc>
          <w:tcPr>
            <w:tcW w:w="7229"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Дисципліна «</w:t>
            </w:r>
            <w:r>
              <w:rPr>
                <w:rFonts w:ascii="Times New Roman" w:hAnsi="Times New Roman" w:cs="Times New Roman"/>
                <w:bCs/>
                <w:sz w:val="24"/>
                <w:szCs w:val="24"/>
              </w:rPr>
              <w:t>Граматичні аспекти перекладу</w:t>
            </w:r>
            <w:r>
              <w:rPr>
                <w:rFonts w:ascii="Times New Roman" w:hAnsi="Times New Roman" w:cs="Times New Roman"/>
                <w:sz w:val="24"/>
                <w:szCs w:val="24"/>
              </w:rPr>
              <w:t>» є вибірковою дисципліною зі спеціальності 035 Філологія для освітньої програми ОС «бакалавр», яка викладається в 7 семестрі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rPr>
              <w:t>Мета та цілі курсу</w:t>
            </w:r>
          </w:p>
        </w:tc>
        <w:tc>
          <w:tcPr>
            <w:tcW w:w="7229"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усвідомити та реалізувати принципи граматичної організації сучасної німецької мови в аспекті її структури та закономірностей функціонування в усному й писемному мовленні; орієнтуватися у науковій лінгвістичній інформації та розуміти природу граматичних явищ німецької мови; володіти високим рівнем граматичної правильності у різних видах мовленнєвої діяльності.</w:t>
            </w:r>
          </w:p>
          <w:p>
            <w:pPr>
              <w:pStyle w:val="13"/>
              <w:jc w:val="both"/>
              <w:rPr>
                <w:rFonts w:ascii="Times New Roman" w:hAnsi="Times New Roman"/>
                <w:sz w:val="24"/>
                <w:szCs w:val="24"/>
              </w:rPr>
            </w:pPr>
            <w:r>
              <w:rPr>
                <w:rFonts w:ascii="Times New Roman" w:hAnsi="Times New Roman"/>
                <w:sz w:val="24"/>
                <w:szCs w:val="24"/>
              </w:rPr>
              <w:t xml:space="preserve">Основне </w:t>
            </w:r>
            <w:r>
              <w:rPr>
                <w:rFonts w:ascii="Times New Roman" w:hAnsi="Times New Roman"/>
                <w:b/>
                <w:i/>
                <w:sz w:val="24"/>
                <w:szCs w:val="24"/>
              </w:rPr>
              <w:t>завдання</w:t>
            </w:r>
            <w:r>
              <w:rPr>
                <w:rFonts w:ascii="Times New Roman" w:hAnsi="Times New Roman"/>
                <w:sz w:val="24"/>
                <w:szCs w:val="24"/>
              </w:rPr>
              <w:t xml:space="preserve"> курсу – знайти спільне та відмінне у граматичних системах двох порівнюваних мов та виділити особливості функціонування мовних одиниць, що виражають подібні поняття, дати перекладачеві ключ до вибору адекватного варіанту перекладу з фахової, а не інтуїтивної точки зору.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229" w:type="dxa"/>
          </w:tcPr>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Основна</w:t>
            </w:r>
          </w:p>
          <w:p>
            <w:pPr>
              <w:pStyle w:val="19"/>
              <w:numPr>
                <w:ilvl w:val="3"/>
                <w:numId w:val="1"/>
              </w:numPr>
              <w:spacing w:after="23"/>
              <w:ind w:left="374"/>
            </w:pPr>
            <w:r>
              <w:t>Лалаян Н. С., Подвойська О. В. Порівняльна граматика німецької та української мов. – Вінниця : Нова Книга, 2013.</w:t>
            </w:r>
          </w:p>
          <w:p>
            <w:pPr>
              <w:pStyle w:val="19"/>
              <w:numPr>
                <w:ilvl w:val="3"/>
                <w:numId w:val="1"/>
              </w:numPr>
              <w:spacing w:after="23"/>
              <w:ind w:left="374"/>
              <w:rPr>
                <w:lang w:val="de-DE"/>
              </w:rPr>
            </w:pPr>
            <w:r>
              <w:rPr>
                <w:lang w:val="de-DE"/>
              </w:rPr>
              <w:t xml:space="preserve">Duden. Die Grammatik. 7. völlig neu erarbeitete und erweiterte Auflage. – Mannheim-Leipzig-Wien-Zürich, 2005. </w:t>
            </w:r>
          </w:p>
          <w:p>
            <w:pPr>
              <w:pStyle w:val="19"/>
              <w:numPr>
                <w:ilvl w:val="3"/>
                <w:numId w:val="1"/>
              </w:numPr>
              <w:spacing w:after="23"/>
              <w:ind w:left="374"/>
              <w:rPr>
                <w:lang w:val="de-DE"/>
              </w:rPr>
            </w:pPr>
            <w:r>
              <w:rPr>
                <w:lang w:val="de-DE"/>
              </w:rPr>
              <w:t xml:space="preserve">Eisenberg P. Grundriss der deutschen Grammatik. Dritte Auflage. – Stuttgart-Weimar: Verlag J. Metzler, 1994. </w:t>
            </w:r>
          </w:p>
          <w:p>
            <w:pPr>
              <w:pStyle w:val="19"/>
              <w:numPr>
                <w:ilvl w:val="3"/>
                <w:numId w:val="1"/>
              </w:numPr>
              <w:spacing w:after="23"/>
              <w:ind w:left="374"/>
              <w:rPr>
                <w:lang w:val="de-DE"/>
              </w:rPr>
            </w:pPr>
            <w:r>
              <w:rPr>
                <w:lang w:val="de-DE"/>
              </w:rPr>
              <w:t xml:space="preserve">Helbig G., Buscha J. Deutsche Grammatik. – Leipzig, Berlin, München: Neubeab, 2001.  </w:t>
            </w:r>
          </w:p>
          <w:p>
            <w:pPr>
              <w:pStyle w:val="19"/>
              <w:spacing w:after="23"/>
              <w:ind w:left="14"/>
              <w:rPr>
                <w:lang w:val="de-DE"/>
              </w:rPr>
            </w:pPr>
          </w:p>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Додаткова</w:t>
            </w:r>
          </w:p>
          <w:p>
            <w:pPr>
              <w:pStyle w:val="19"/>
              <w:numPr>
                <w:ilvl w:val="3"/>
                <w:numId w:val="2"/>
              </w:numPr>
              <w:spacing w:after="23"/>
              <w:ind w:left="374"/>
              <w:rPr>
                <w:lang w:val="de-DE"/>
              </w:rPr>
            </w:pPr>
            <w:r>
              <w:rPr>
                <w:lang w:val="de-DE"/>
              </w:rPr>
              <w:t xml:space="preserve">Buscha J. u. a. Grammatik in Feldern: Ein Lehr- und Übungsbuch für Fortgeschrittene. – Ismaning: Verlag für Deutsch, 1998. </w:t>
            </w:r>
          </w:p>
          <w:p>
            <w:pPr>
              <w:pStyle w:val="19"/>
              <w:numPr>
                <w:ilvl w:val="0"/>
                <w:numId w:val="2"/>
              </w:numPr>
              <w:spacing w:after="23"/>
              <w:ind w:left="374"/>
              <w:rPr>
                <w:lang w:val="de-DE"/>
              </w:rPr>
            </w:pPr>
            <w:r>
              <w:rPr>
                <w:lang w:val="de-DE"/>
              </w:rPr>
              <w:t xml:space="preserve">Bussmann H. Lexikon der Sprachwissenschaft; 3. aktualisierte und erweiterte Auflage. </w:t>
            </w:r>
            <w:r>
              <w:t>–</w:t>
            </w:r>
            <w:r>
              <w:rPr>
                <w:lang w:val="de-DE"/>
              </w:rPr>
              <w:t xml:space="preserve"> Stuttgart: Alfred Kröner Verlag, 2002. </w:t>
            </w:r>
          </w:p>
          <w:p>
            <w:pPr>
              <w:pStyle w:val="19"/>
              <w:numPr>
                <w:ilvl w:val="0"/>
                <w:numId w:val="2"/>
              </w:numPr>
              <w:spacing w:after="23"/>
              <w:ind w:left="374"/>
              <w:rPr>
                <w:lang w:val="de-DE"/>
              </w:rPr>
            </w:pPr>
            <w:r>
              <w:rPr>
                <w:lang w:val="de-DE"/>
              </w:rPr>
              <w:t>Engel M. Deutsche Grammatik. – München: IUDICIUM Verlag GmbH, 2004.</w:t>
            </w:r>
          </w:p>
          <w:p>
            <w:pPr>
              <w:pStyle w:val="19"/>
              <w:numPr>
                <w:ilvl w:val="0"/>
                <w:numId w:val="2"/>
              </w:numPr>
              <w:spacing w:after="23"/>
              <w:ind w:left="374"/>
              <w:rPr>
                <w:lang w:val="de-DE"/>
              </w:rPr>
            </w:pPr>
            <w:r>
              <w:rPr>
                <w:lang w:val="de-DE"/>
              </w:rPr>
              <w:t xml:space="preserve">Hall K., Schreiner B. Übungsgrammatik Deutsch als Fremdsprache für Fortgeschrittene. – Ismaning: Verlag für Deutsch, 1995. </w:t>
            </w:r>
          </w:p>
          <w:p>
            <w:pPr>
              <w:pStyle w:val="19"/>
              <w:numPr>
                <w:ilvl w:val="0"/>
                <w:numId w:val="2"/>
              </w:numPr>
              <w:spacing w:after="23"/>
              <w:ind w:left="374"/>
              <w:rPr>
                <w:lang w:val="de-DE"/>
              </w:rPr>
            </w:pPr>
            <w:r>
              <w:t>Rug W</w:t>
            </w:r>
            <w:r>
              <w:rPr>
                <w:lang w:val="de-DE"/>
              </w:rPr>
              <w:t>.,</w:t>
            </w:r>
            <w:r>
              <w:t xml:space="preserve"> Tomaszewski A</w:t>
            </w:r>
            <w:r>
              <w:rPr>
                <w:lang w:val="de-DE"/>
              </w:rPr>
              <w:t xml:space="preserve">. </w:t>
            </w:r>
            <w:r>
              <w:t>Grammatik mit Sinn und Verstand.</w:t>
            </w:r>
            <w:r>
              <w:rPr>
                <w:lang w:val="de-DE"/>
              </w:rPr>
              <w:t xml:space="preserve"> –</w:t>
            </w:r>
            <w:r>
              <w:t xml:space="preserve"> München: Klett, 1993.</w:t>
            </w:r>
          </w:p>
          <w:p>
            <w:pPr>
              <w:pStyle w:val="19"/>
              <w:numPr>
                <w:ilvl w:val="0"/>
                <w:numId w:val="2"/>
              </w:numPr>
              <w:spacing w:after="23"/>
              <w:ind w:left="374"/>
              <w:rPr>
                <w:lang w:val="de-DE"/>
              </w:rPr>
            </w:pPr>
            <w:r>
              <w:t>Sommerfeldt K</w:t>
            </w:r>
            <w:r>
              <w:rPr>
                <w:lang w:val="de-DE"/>
              </w:rPr>
              <w:t>.</w:t>
            </w:r>
            <w:r>
              <w:t>-E</w:t>
            </w:r>
            <w:r>
              <w:rPr>
                <w:lang w:val="de-DE"/>
              </w:rPr>
              <w:t>.,</w:t>
            </w:r>
            <w:r>
              <w:t xml:space="preserve"> Schreiber H</w:t>
            </w:r>
            <w:r>
              <w:rPr>
                <w:lang w:val="de-DE"/>
              </w:rPr>
              <w:t>.</w:t>
            </w:r>
            <w:r>
              <w:t xml:space="preserve"> Starke, Günter: Grammatisch-semantische Felder. Einführung und Übungen.</w:t>
            </w:r>
            <w:r>
              <w:rPr>
                <w:lang w:val="de-DE"/>
              </w:rPr>
              <w:t xml:space="preserve"> –</w:t>
            </w:r>
            <w:r>
              <w:t xml:space="preserve"> Berlin u. a.: Langenscheidt, 1991</w:t>
            </w:r>
            <w:r>
              <w:rPr>
                <w:lang w:val="de-DE"/>
              </w:rPr>
              <w:t>.</w:t>
            </w:r>
          </w:p>
          <w:p>
            <w:pPr>
              <w:pStyle w:val="19"/>
              <w:numPr>
                <w:ilvl w:val="0"/>
                <w:numId w:val="2"/>
              </w:numPr>
              <w:spacing w:after="23"/>
              <w:ind w:left="374"/>
              <w:rPr>
                <w:lang w:val="en-US"/>
              </w:rPr>
            </w:pPr>
            <w:r>
              <w:rPr>
                <w:lang w:val="de-DE"/>
              </w:rPr>
              <w:t xml:space="preserve">Zifonun G. u. a. Grammatik der deutschen Sprache. </w:t>
            </w:r>
            <w:r>
              <w:rPr>
                <w:lang w:val="en-US"/>
              </w:rPr>
              <w:t>Bd. 3. – Berlin, New York: W. de Gruyter, 1997.</w:t>
            </w:r>
          </w:p>
          <w:p>
            <w:pPr>
              <w:spacing w:after="0" w:line="240" w:lineRule="auto"/>
              <w:ind w:left="374"/>
              <w:rPr>
                <w:rFonts w:ascii="Times New Roman" w:hAnsi="Times New Roman" w:cs="Times New Roman"/>
                <w:bCs/>
                <w:spacing w:val="-6"/>
                <w:sz w:val="24"/>
              </w:rPr>
            </w:pPr>
          </w:p>
          <w:p>
            <w:pPr>
              <w:spacing w:after="0" w:line="240" w:lineRule="auto"/>
              <w:jc w:val="center"/>
              <w:rPr>
                <w:rFonts w:ascii="Times New Roman" w:hAnsi="Times New Roman" w:cs="Times New Roman"/>
                <w:b/>
                <w:bCs/>
                <w:i/>
                <w:spacing w:val="-6"/>
                <w:sz w:val="24"/>
              </w:rPr>
            </w:pPr>
            <w:r>
              <w:rPr>
                <w:rFonts w:ascii="Times New Roman" w:hAnsi="Times New Roman" w:cs="Times New Roman"/>
                <w:b/>
                <w:bCs/>
                <w:i/>
                <w:spacing w:val="-6"/>
                <w:sz w:val="24"/>
              </w:rPr>
              <w:t>Інтернет-ресурси</w:t>
            </w:r>
          </w:p>
          <w:p>
            <w:pPr>
              <w:pStyle w:val="14"/>
              <w:numPr>
                <w:ilvl w:val="0"/>
                <w:numId w:val="3"/>
              </w:numPr>
              <w:spacing w:after="0" w:line="240" w:lineRule="auto"/>
              <w:ind w:left="357" w:hanging="379"/>
              <w:jc w:val="both"/>
              <w:rPr>
                <w:rStyle w:val="9"/>
                <w:rFonts w:ascii="Times New Roman" w:hAnsi="Times New Roman" w:cs="Times New Roman"/>
                <w:bCs/>
                <w:color w:val="auto"/>
                <w:spacing w:val="-6"/>
                <w:sz w:val="24"/>
                <w:u w:val="none"/>
              </w:rPr>
            </w:pPr>
            <w:r>
              <w:fldChar w:fldCharType="begin"/>
            </w:r>
            <w:r>
              <w:instrText xml:space="preserve"> HYPERLINK "https://de.wikipedia.org/wiki/Deutsche_Grammatik" </w:instrText>
            </w:r>
            <w:r>
              <w:fldChar w:fldCharType="separate"/>
            </w:r>
            <w:r>
              <w:rPr>
                <w:rStyle w:val="9"/>
              </w:rPr>
              <w:t>https://de.wikipedia.org/wiki/Deutsche_Grammatik</w:t>
            </w:r>
            <w:r>
              <w:rPr>
                <w:rStyle w:val="9"/>
              </w:rPr>
              <w:fldChar w:fldCharType="end"/>
            </w:r>
          </w:p>
          <w:p>
            <w:pPr>
              <w:pStyle w:val="14"/>
              <w:numPr>
                <w:ilvl w:val="0"/>
                <w:numId w:val="3"/>
              </w:numPr>
              <w:spacing w:after="0" w:line="240" w:lineRule="auto"/>
              <w:ind w:left="357" w:hanging="379"/>
              <w:jc w:val="both"/>
              <w:rPr>
                <w:rFonts w:ascii="Times New Roman" w:hAnsi="Times New Roman" w:cs="Times New Roman"/>
                <w:bCs/>
                <w:spacing w:val="-6"/>
                <w:sz w:val="24"/>
              </w:rPr>
            </w:pPr>
            <w:r>
              <w:fldChar w:fldCharType="begin"/>
            </w:r>
            <w:r>
              <w:instrText xml:space="preserve"> HYPERLINK "https://www.duden.de/sprachwissen/sprachratgeber/Duden-Die-Grammatik-9-Auflage" </w:instrText>
            </w:r>
            <w:r>
              <w:fldChar w:fldCharType="separate"/>
            </w:r>
            <w:r>
              <w:rPr>
                <w:rStyle w:val="9"/>
              </w:rPr>
              <w:t>https://www.duden.de/sprachwissen/sprachratgeber/Duden-Die-Grammatik-9-Auflage</w:t>
            </w:r>
            <w:r>
              <w:rPr>
                <w:rStyle w:val="9"/>
              </w:rPr>
              <w:fldChar w:fldCharType="end"/>
            </w:r>
          </w:p>
          <w:p>
            <w:pPr>
              <w:pStyle w:val="14"/>
              <w:numPr>
                <w:ilvl w:val="0"/>
                <w:numId w:val="3"/>
              </w:numPr>
              <w:spacing w:after="0" w:line="240" w:lineRule="auto"/>
              <w:ind w:left="357" w:hanging="379"/>
              <w:jc w:val="both"/>
              <w:rPr>
                <w:rFonts w:ascii="Times New Roman" w:hAnsi="Times New Roman" w:cs="Times New Roman"/>
                <w:bCs/>
                <w:spacing w:val="-6"/>
                <w:sz w:val="24"/>
              </w:rPr>
            </w:pPr>
            <w:r>
              <w:fldChar w:fldCharType="begin"/>
            </w:r>
            <w:r>
              <w:instrText xml:space="preserve"> HYPERLINK "https://www1.ids-mannheim.de/gra/" </w:instrText>
            </w:r>
            <w:r>
              <w:fldChar w:fldCharType="separate"/>
            </w:r>
            <w:r>
              <w:rPr>
                <w:rStyle w:val="9"/>
              </w:rPr>
              <w:t>https://www1.ids-mannheim.de/gra/</w:t>
            </w:r>
            <w:r>
              <w:rPr>
                <w:rStyle w:val="9"/>
              </w:rPr>
              <w:fldChar w:fldCharType="end"/>
            </w:r>
          </w:p>
          <w:p>
            <w:pPr>
              <w:pStyle w:val="14"/>
              <w:numPr>
                <w:ilvl w:val="0"/>
                <w:numId w:val="3"/>
              </w:numPr>
              <w:spacing w:after="0" w:line="240" w:lineRule="auto"/>
              <w:ind w:left="357" w:hanging="379"/>
              <w:jc w:val="both"/>
              <w:rPr>
                <w:rFonts w:ascii="Times New Roman" w:hAnsi="Times New Roman" w:cs="Times New Roman"/>
                <w:bCs/>
                <w:spacing w:val="-6"/>
                <w:sz w:val="24"/>
              </w:rPr>
            </w:pPr>
            <w:r>
              <w:fldChar w:fldCharType="begin"/>
            </w:r>
            <w:r>
              <w:instrText xml:space="preserve"> HYPERLINK "https://mein-deutschbuch.de/grammatik.html" </w:instrText>
            </w:r>
            <w:r>
              <w:fldChar w:fldCharType="separate"/>
            </w:r>
            <w:r>
              <w:rPr>
                <w:rStyle w:val="9"/>
              </w:rPr>
              <w:t>https://mein-deutschbuch.de/grammatik.html</w:t>
            </w:r>
            <w:r>
              <w:rPr>
                <w:rStyle w:val="9"/>
              </w:rPr>
              <w:fldChar w:fldCharType="end"/>
            </w:r>
          </w:p>
          <w:p>
            <w:pPr>
              <w:pStyle w:val="14"/>
              <w:numPr>
                <w:ilvl w:val="0"/>
                <w:numId w:val="3"/>
              </w:numPr>
              <w:spacing w:after="0" w:line="240" w:lineRule="auto"/>
              <w:ind w:left="357" w:hanging="379"/>
              <w:jc w:val="both"/>
              <w:rPr>
                <w:rFonts w:ascii="Times New Roman" w:hAnsi="Times New Roman" w:cs="Times New Roman"/>
                <w:bCs/>
                <w:spacing w:val="-6"/>
                <w:sz w:val="24"/>
              </w:rPr>
            </w:pPr>
            <w:r>
              <w:fldChar w:fldCharType="begin"/>
            </w:r>
            <w:r>
              <w:instrText xml:space="preserve"> HYPERLINK "https://deutschegrammatik20.de/" </w:instrText>
            </w:r>
            <w:r>
              <w:fldChar w:fldCharType="separate"/>
            </w:r>
            <w:r>
              <w:rPr>
                <w:rStyle w:val="9"/>
              </w:rPr>
              <w:t>https://deutschegrammatik20.de/</w:t>
            </w:r>
            <w:r>
              <w:rPr>
                <w:rStyle w:val="9"/>
              </w:rPr>
              <w:fldChar w:fldCharType="end"/>
            </w:r>
            <w:r>
              <w:rPr>
                <w:rStyle w:val="9"/>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22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семестр (</w:t>
            </w:r>
            <w:r>
              <w:rPr>
                <w:rFonts w:ascii="Times New Roman" w:hAnsi="Times New Roman" w:cs="Times New Roman"/>
                <w:sz w:val="24"/>
                <w:szCs w:val="24"/>
                <w:lang w:val="de-DE"/>
              </w:rPr>
              <w:t>7</w:t>
            </w:r>
            <w:r>
              <w:rPr>
                <w:rFonts w:ascii="Times New Roman" w:hAnsi="Times New Roman" w:cs="Times New Roman"/>
                <w:sz w:val="24"/>
                <w:szCs w:val="24"/>
              </w:rPr>
              <w:t>)</w:t>
            </w:r>
            <w:r>
              <w:rPr>
                <w:rFonts w:ascii="Times New Roman" w:hAnsi="Times New Roman" w:cs="Times New Roman"/>
                <w:sz w:val="24"/>
                <w:szCs w:val="24"/>
                <w:lang w:val="de-DE"/>
              </w:rPr>
              <w:t xml:space="preserve">, </w:t>
            </w:r>
            <w:r>
              <w:rPr>
                <w:rFonts w:ascii="Times New Roman" w:hAnsi="Times New Roman" w:cs="Times New Roman"/>
                <w:sz w:val="24"/>
                <w:szCs w:val="24"/>
              </w:rPr>
              <w:t>90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229" w:type="dxa"/>
          </w:tcPr>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Загальна кількість годин – 90</w:t>
            </w:r>
            <w:r>
              <w:rPr>
                <w:rFonts w:ascii="Times New Roman" w:hAnsi="Times New Roman" w:cs="Times New Roman"/>
                <w:sz w:val="24"/>
                <w:szCs w:val="24"/>
                <w:lang w:val="ru-RU"/>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години аудиторних занять, з них </w:t>
            </w:r>
            <w:r>
              <w:rPr>
                <w:rFonts w:ascii="Times New Roman" w:hAnsi="Times New Roman" w:cs="Times New Roman"/>
                <w:sz w:val="24"/>
                <w:szCs w:val="24"/>
                <w:lang w:val="ru-RU"/>
              </w:rPr>
              <w:t>16</w:t>
            </w:r>
            <w:r>
              <w:rPr>
                <w:rFonts w:ascii="Times New Roman" w:hAnsi="Times New Roman" w:cs="Times New Roman"/>
                <w:sz w:val="24"/>
                <w:szCs w:val="24"/>
              </w:rPr>
              <w:t xml:space="preserve"> годин лекцій, </w:t>
            </w:r>
            <w:r>
              <w:rPr>
                <w:rFonts w:ascii="Times New Roman" w:hAnsi="Times New Roman" w:cs="Times New Roman"/>
                <w:sz w:val="24"/>
                <w:szCs w:val="24"/>
                <w:lang w:val="ru-RU"/>
              </w:rPr>
              <w:t>16</w:t>
            </w:r>
            <w:r>
              <w:rPr>
                <w:rFonts w:ascii="Times New Roman" w:hAnsi="Times New Roman" w:cs="Times New Roman"/>
                <w:sz w:val="24"/>
                <w:szCs w:val="24"/>
              </w:rPr>
              <w:t xml:space="preserve"> годин практичних занять. 58 годин самостійної роботи.</w:t>
            </w:r>
          </w:p>
        </w:tc>
      </w:tr>
      <w:tr>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229"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знати</w:t>
            </w:r>
            <w:r>
              <w:rPr>
                <w:rFonts w:ascii="Times New Roman" w:hAnsi="Times New Roman" w:cs="Times New Roman"/>
                <w:sz w:val="24"/>
              </w:rPr>
              <w:t>:</w:t>
            </w:r>
          </w:p>
          <w:p>
            <w:pPr>
              <w:numPr>
                <w:ilvl w:val="0"/>
                <w:numId w:val="4"/>
              </w:numPr>
              <w:tabs>
                <w:tab w:val="left" w:pos="284"/>
                <w:tab w:val="left" w:pos="591"/>
              </w:tabs>
              <w:spacing w:after="0" w:line="240" w:lineRule="auto"/>
              <w:ind w:left="324"/>
              <w:jc w:val="both"/>
              <w:rPr>
                <w:rFonts w:ascii="Times New Roman" w:hAnsi="Times New Roman" w:cs="Times New Roman"/>
                <w:sz w:val="24"/>
              </w:rPr>
            </w:pPr>
            <w:r>
              <w:rPr>
                <w:rFonts w:ascii="Times New Roman" w:hAnsi="Times New Roman" w:cs="Times New Roman"/>
                <w:sz w:val="24"/>
              </w:rPr>
              <w:t>сучасні теоретичні положення лінгвістики щодо природи граматичних явищ та процесів сучасної німецької мови;</w:t>
            </w:r>
          </w:p>
          <w:p>
            <w:pPr>
              <w:numPr>
                <w:ilvl w:val="0"/>
                <w:numId w:val="4"/>
              </w:numPr>
              <w:tabs>
                <w:tab w:val="left" w:pos="284"/>
                <w:tab w:val="left" w:pos="591"/>
              </w:tabs>
              <w:spacing w:after="0" w:line="240" w:lineRule="auto"/>
              <w:ind w:left="324"/>
              <w:jc w:val="both"/>
              <w:rPr>
                <w:rFonts w:ascii="Times New Roman" w:hAnsi="Times New Roman" w:cs="Times New Roman"/>
                <w:sz w:val="24"/>
              </w:rPr>
            </w:pPr>
            <w:r>
              <w:rPr>
                <w:rFonts w:ascii="Times New Roman" w:hAnsi="Times New Roman" w:cs="Times New Roman"/>
                <w:sz w:val="24"/>
              </w:rPr>
              <w:t>особливості граматичної будови німецької мови з використанням категоріально-понятійного апарату лінгвістики для подолання граматичних бар’єрів міжкультурної комунікації;</w:t>
            </w:r>
          </w:p>
          <w:p>
            <w:pPr>
              <w:numPr>
                <w:ilvl w:val="0"/>
                <w:numId w:val="4"/>
              </w:numPr>
              <w:tabs>
                <w:tab w:val="left" w:pos="284"/>
                <w:tab w:val="left" w:pos="591"/>
              </w:tabs>
              <w:spacing w:after="0" w:line="240" w:lineRule="auto"/>
              <w:ind w:left="324"/>
              <w:jc w:val="both"/>
              <w:rPr>
                <w:rFonts w:ascii="Times New Roman" w:hAnsi="Times New Roman" w:cs="Times New Roman"/>
                <w:sz w:val="24"/>
              </w:rPr>
            </w:pPr>
            <w:r>
              <w:rPr>
                <w:rFonts w:ascii="Times New Roman" w:hAnsi="Times New Roman" w:cs="Times New Roman"/>
                <w:sz w:val="24"/>
              </w:rPr>
              <w:t>основні положення класичних і сучасних лінгвістичних напрямів і підходів до граматичного аналізу мовних одиниць;</w:t>
            </w:r>
          </w:p>
          <w:p>
            <w:pPr>
              <w:numPr>
                <w:ilvl w:val="0"/>
                <w:numId w:val="4"/>
              </w:numPr>
              <w:tabs>
                <w:tab w:val="left" w:pos="284"/>
                <w:tab w:val="left" w:pos="591"/>
              </w:tabs>
              <w:spacing w:after="0" w:line="240" w:lineRule="auto"/>
              <w:ind w:left="324"/>
              <w:jc w:val="both"/>
              <w:rPr>
                <w:rFonts w:ascii="Times New Roman" w:hAnsi="Times New Roman" w:cs="Times New Roman"/>
                <w:sz w:val="24"/>
              </w:rPr>
            </w:pPr>
            <w:r>
              <w:rPr>
                <w:rFonts w:ascii="Times New Roman" w:hAnsi="Times New Roman" w:cs="Times New Roman"/>
                <w:sz w:val="24"/>
              </w:rPr>
              <w:t>загальні принципи застосування спеціальних методик граматико-лінгвістичного аналізу.</w:t>
            </w:r>
          </w:p>
          <w:p>
            <w:pPr>
              <w:numPr>
                <w:ilvl w:val="0"/>
                <w:numId w:val="4"/>
              </w:numPr>
              <w:tabs>
                <w:tab w:val="left" w:pos="284"/>
                <w:tab w:val="left" w:pos="591"/>
              </w:tabs>
              <w:spacing w:after="0" w:line="240" w:lineRule="auto"/>
              <w:ind w:left="313"/>
              <w:jc w:val="both"/>
              <w:rPr>
                <w:rFonts w:ascii="Times New Roman" w:hAnsi="Times New Roman" w:cs="Times New Roman"/>
                <w:sz w:val="24"/>
              </w:rPr>
            </w:pPr>
            <w:r>
              <w:rPr>
                <w:rFonts w:ascii="Times New Roman" w:hAnsi="Times New Roman" w:cs="Times New Roman"/>
                <w:sz w:val="24"/>
              </w:rPr>
              <w:t>основні сучасні лінгвістичні теорії та підходи до аналізу мовних одиниць.</w:t>
            </w:r>
          </w:p>
          <w:p>
            <w:pPr>
              <w:tabs>
                <w:tab w:val="left" w:pos="284"/>
                <w:tab w:val="left" w:pos="567"/>
              </w:tabs>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вміти</w:t>
            </w:r>
            <w:r>
              <w:rPr>
                <w:rFonts w:ascii="Times New Roman" w:hAnsi="Times New Roman" w:cs="Times New Roman"/>
                <w:sz w:val="24"/>
              </w:rPr>
              <w:t xml:space="preserve">: </w:t>
            </w:r>
          </w:p>
          <w:p>
            <w:pPr>
              <w:numPr>
                <w:ilvl w:val="0"/>
                <w:numId w:val="5"/>
              </w:numPr>
              <w:tabs>
                <w:tab w:val="left" w:pos="284"/>
                <w:tab w:val="left" w:pos="313"/>
              </w:tabs>
              <w:spacing w:after="0" w:line="240" w:lineRule="auto"/>
              <w:ind w:left="313"/>
              <w:jc w:val="both"/>
              <w:rPr>
                <w:rFonts w:ascii="Times New Roman" w:hAnsi="Times New Roman" w:cs="Times New Roman"/>
                <w:sz w:val="24"/>
              </w:rPr>
            </w:pPr>
            <w:r>
              <w:rPr>
                <w:rFonts w:ascii="Times New Roman" w:hAnsi="Times New Roman" w:cs="Times New Roman"/>
                <w:sz w:val="24"/>
              </w:rPr>
              <w:t>на основі спостереження мовних фактів робити узагальнення про ті чи інші процеси сучасної німецької мови;</w:t>
            </w:r>
          </w:p>
          <w:p>
            <w:pPr>
              <w:numPr>
                <w:ilvl w:val="0"/>
                <w:numId w:val="5"/>
              </w:numPr>
              <w:tabs>
                <w:tab w:val="left" w:pos="284"/>
                <w:tab w:val="left" w:pos="313"/>
              </w:tabs>
              <w:spacing w:after="0" w:line="240" w:lineRule="auto"/>
              <w:ind w:left="313"/>
              <w:jc w:val="both"/>
              <w:rPr>
                <w:rFonts w:ascii="Times New Roman" w:hAnsi="Times New Roman" w:cs="Times New Roman"/>
                <w:sz w:val="24"/>
              </w:rPr>
            </w:pPr>
            <w:r>
              <w:rPr>
                <w:rFonts w:ascii="Times New Roman" w:hAnsi="Times New Roman" w:cs="Times New Roman"/>
                <w:sz w:val="24"/>
              </w:rPr>
              <w:t>зіставляти та порівнювати сучасну структуру німецької та української мов;</w:t>
            </w:r>
          </w:p>
          <w:p>
            <w:pPr>
              <w:numPr>
                <w:ilvl w:val="0"/>
                <w:numId w:val="5"/>
              </w:numPr>
              <w:tabs>
                <w:tab w:val="left" w:pos="284"/>
                <w:tab w:val="left" w:pos="313"/>
              </w:tabs>
              <w:spacing w:after="0" w:line="240" w:lineRule="auto"/>
              <w:ind w:left="313"/>
              <w:jc w:val="both"/>
              <w:rPr>
                <w:rFonts w:ascii="Times New Roman" w:hAnsi="Times New Roman" w:cs="Times New Roman"/>
                <w:sz w:val="24"/>
              </w:rPr>
            </w:pPr>
            <w:r>
              <w:rPr>
                <w:rFonts w:ascii="Times New Roman" w:hAnsi="Times New Roman" w:cs="Times New Roman"/>
                <w:sz w:val="24"/>
              </w:rPr>
              <w:t>виявляти подібності та відмінності у будові мов та їх лексиконі;</w:t>
            </w:r>
          </w:p>
          <w:p>
            <w:pPr>
              <w:numPr>
                <w:ilvl w:val="0"/>
                <w:numId w:val="5"/>
              </w:numPr>
              <w:tabs>
                <w:tab w:val="left" w:pos="284"/>
                <w:tab w:val="left" w:pos="313"/>
              </w:tabs>
              <w:spacing w:after="0" w:line="240" w:lineRule="auto"/>
              <w:ind w:left="313"/>
              <w:jc w:val="both"/>
              <w:rPr>
                <w:rFonts w:ascii="Times New Roman" w:hAnsi="Times New Roman" w:cs="Times New Roman"/>
                <w:sz w:val="24"/>
              </w:rPr>
            </w:pPr>
            <w:r>
              <w:rPr>
                <w:rFonts w:ascii="Times New Roman" w:hAnsi="Times New Roman" w:cs="Times New Roman"/>
                <w:sz w:val="24"/>
              </w:rPr>
              <w:t>надавати правильну теоретичну інтерпретацію мовним явищам;</w:t>
            </w:r>
          </w:p>
          <w:p>
            <w:pPr>
              <w:numPr>
                <w:ilvl w:val="0"/>
                <w:numId w:val="5"/>
              </w:numPr>
              <w:tabs>
                <w:tab w:val="left" w:pos="284"/>
                <w:tab w:val="left" w:pos="313"/>
              </w:tabs>
              <w:spacing w:after="0" w:line="240" w:lineRule="auto"/>
              <w:ind w:left="313"/>
              <w:jc w:val="both"/>
              <w:rPr>
                <w:rFonts w:ascii="Times New Roman" w:hAnsi="Times New Roman" w:cs="Times New Roman"/>
                <w:sz w:val="24"/>
              </w:rPr>
            </w:pPr>
            <w:r>
              <w:rPr>
                <w:rFonts w:ascii="Times New Roman" w:hAnsi="Times New Roman" w:cs="Times New Roman"/>
                <w:sz w:val="24"/>
              </w:rPr>
              <w:t>ілюструвати кожне теоретичне положення конкретними мовними прикладами;</w:t>
            </w:r>
          </w:p>
          <w:p>
            <w:pPr>
              <w:numPr>
                <w:ilvl w:val="0"/>
                <w:numId w:val="5"/>
              </w:numPr>
              <w:tabs>
                <w:tab w:val="left" w:pos="284"/>
                <w:tab w:val="left" w:pos="313"/>
              </w:tabs>
              <w:spacing w:after="0" w:line="240" w:lineRule="auto"/>
              <w:ind w:left="313"/>
              <w:jc w:val="both"/>
              <w:rPr>
                <w:rFonts w:ascii="Times New Roman" w:hAnsi="Times New Roman" w:cs="Times New Roman"/>
                <w:sz w:val="24"/>
              </w:rPr>
            </w:pPr>
            <w:r>
              <w:rPr>
                <w:rFonts w:ascii="Times New Roman" w:hAnsi="Times New Roman" w:cs="Times New Roman"/>
                <w:sz w:val="24"/>
              </w:rPr>
              <w:t>працювати з науковою лінгвістичною літературою.</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Граматика, контрастивна граматика, ізоморфний, аломорфний, морфологія, синтаксис, частина мови, типологія.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лекцій,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Залік в кінці семестру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Виставляється автоматично на підставі врахування поточної успішності протягом семестру.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«Перша іноземна мова», «Українська мова», «Вступ до мовознавства», достатніх для сприйняття категоріального апарату в рамках дисципліни «Граматичні аспекти перекладу».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наступні: розповідь, пояснення, бесіда, лекція, демонстрація, спостереження, практичне заняття, індивідуальні завдання, інтерактивні методи.</w:t>
            </w:r>
          </w:p>
        </w:tc>
      </w:tr>
      <w:tr>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і проектор.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229"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залік на основі оцінок, які він/вона отримав/ла за відповіді на практичних заняттях. Оцінювання проводиться за 100-бальною шкалою.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наступним співвідношенням: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практичні заняття: 50% семестрової оцінки; максимальна кількість балів – 50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дві модульні контрольні роботи: 20% семестрової оцінки; максимальна кількість балів – 20 балів (2 х 10);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відвідування аудиторних занять: 10% семестрової оцінки; максимальна кількість балів – 10 балів;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самостійна робота: 20% семестрової оцінки; максимальна кількість балів – 20 балів.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Залік оформляється шляхом сумування одержаних студентом балів за усі види навчальної діяльності.</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балів – 100 балів.</w:t>
            </w:r>
          </w:p>
          <w:p>
            <w:pPr>
              <w:tabs>
                <w:tab w:val="left" w:pos="284"/>
                <w:tab w:val="left" w:pos="567"/>
              </w:tabs>
              <w:spacing w:after="0" w:line="240" w:lineRule="auto"/>
              <w:jc w:val="both"/>
              <w:rPr>
                <w:rFonts w:ascii="Times New Roman" w:hAnsi="Times New Roman" w:cs="Times New Roman"/>
                <w:sz w:val="24"/>
                <w:szCs w:val="24"/>
              </w:rPr>
            </w:pPr>
          </w:p>
          <w:p>
            <w:pPr>
              <w:pStyle w:val="6"/>
              <w:jc w:val="center"/>
              <w:rPr>
                <w:b/>
                <w:bCs/>
                <w:sz w:val="24"/>
                <w:lang w:val="uk-UA"/>
              </w:rPr>
            </w:pPr>
            <w:r>
              <w:rPr>
                <w:b/>
                <w:bCs/>
                <w:sz w:val="24"/>
                <w:lang w:val="uk-UA"/>
              </w:rPr>
              <w:t>Шкала оцінювання модульної контрольної роботи</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4"/>
              <w:gridCol w:w="3569"/>
            </w:tblGrid>
            <w:tr>
              <w:tc>
                <w:tcPr>
                  <w:tcW w:w="4261" w:type="dxa"/>
                </w:tcPr>
                <w:p>
                  <w:pPr>
                    <w:pStyle w:val="6"/>
                    <w:rPr>
                      <w:b/>
                      <w:bCs/>
                      <w:sz w:val="24"/>
                      <w:lang w:val="uk-UA"/>
                    </w:rPr>
                  </w:pPr>
                  <w:r>
                    <w:rPr>
                      <w:b/>
                      <w:bCs/>
                      <w:sz w:val="24"/>
                      <w:lang w:val="uk-UA"/>
                    </w:rPr>
                    <w:t>Кількість балів</w:t>
                  </w:r>
                </w:p>
              </w:tc>
              <w:tc>
                <w:tcPr>
                  <w:tcW w:w="4261" w:type="dxa"/>
                </w:tcPr>
                <w:p>
                  <w:pPr>
                    <w:pStyle w:val="6"/>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10</w:t>
                  </w:r>
                </w:p>
              </w:tc>
              <w:tc>
                <w:tcPr>
                  <w:tcW w:w="4261" w:type="dxa"/>
                </w:tcPr>
                <w:p>
                  <w:pPr>
                    <w:pStyle w:val="6"/>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9</w:t>
                  </w:r>
                </w:p>
              </w:tc>
              <w:tc>
                <w:tcPr>
                  <w:tcW w:w="4261" w:type="dxa"/>
                </w:tcPr>
                <w:p>
                  <w:pPr>
                    <w:pStyle w:val="6"/>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8</w:t>
                  </w:r>
                </w:p>
              </w:tc>
              <w:tc>
                <w:tcPr>
                  <w:tcW w:w="4261" w:type="dxa"/>
                </w:tcPr>
                <w:p>
                  <w:pPr>
                    <w:pStyle w:val="6"/>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7</w:t>
                  </w:r>
                </w:p>
              </w:tc>
              <w:tc>
                <w:tcPr>
                  <w:tcW w:w="4261" w:type="dxa"/>
                </w:tcPr>
                <w:p>
                  <w:pPr>
                    <w:pStyle w:val="6"/>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6</w:t>
                  </w:r>
                </w:p>
              </w:tc>
              <w:tc>
                <w:tcPr>
                  <w:tcW w:w="4261" w:type="dxa"/>
                </w:tcPr>
                <w:p>
                  <w:pPr>
                    <w:pStyle w:val="6"/>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5</w:t>
                  </w:r>
                </w:p>
              </w:tc>
              <w:tc>
                <w:tcPr>
                  <w:tcW w:w="4261" w:type="dxa"/>
                </w:tcPr>
                <w:p>
                  <w:pPr>
                    <w:pStyle w:val="6"/>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4</w:t>
                  </w:r>
                </w:p>
              </w:tc>
              <w:tc>
                <w:tcPr>
                  <w:tcW w:w="4261" w:type="dxa"/>
                </w:tcPr>
                <w:p>
                  <w:pPr>
                    <w:pStyle w:val="6"/>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3</w:t>
                  </w:r>
                </w:p>
              </w:tc>
              <w:tc>
                <w:tcPr>
                  <w:tcW w:w="4261" w:type="dxa"/>
                </w:tcPr>
                <w:p>
                  <w:pPr>
                    <w:pStyle w:val="6"/>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2</w:t>
                  </w:r>
                </w:p>
              </w:tc>
              <w:tc>
                <w:tcPr>
                  <w:tcW w:w="4261" w:type="dxa"/>
                </w:tcPr>
                <w:p>
                  <w:pPr>
                    <w:pStyle w:val="6"/>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1</w:t>
                  </w:r>
                </w:p>
              </w:tc>
              <w:tc>
                <w:tcPr>
                  <w:tcW w:w="4261" w:type="dxa"/>
                </w:tcPr>
                <w:p>
                  <w:pPr>
                    <w:pStyle w:val="6"/>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6"/>
                    <w:rPr>
                      <w:bCs/>
                      <w:sz w:val="24"/>
                      <w:lang w:val="uk-UA"/>
                    </w:rPr>
                  </w:pPr>
                  <w:r>
                    <w:rPr>
                      <w:bCs/>
                      <w:sz w:val="24"/>
                      <w:lang w:val="uk-UA"/>
                    </w:rPr>
                    <w:t xml:space="preserve"> 0</w:t>
                  </w:r>
                </w:p>
              </w:tc>
              <w:tc>
                <w:tcPr>
                  <w:tcW w:w="4261" w:type="dxa"/>
                </w:tcPr>
                <w:p>
                  <w:pPr>
                    <w:pStyle w:val="6"/>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«Граматичні аспекти перекладу». Зміст СРС з дисципліни «Граматичні аспекти перекладу»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тренування перекладацьких навичок на основі вільного вибору матеріалів; підготовка до контрольних робіт. Очікується, що протягом семестру кожен студент представить викладачеві щонайменше 2 роботи, передбачені планом на самостійне виконання.</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Відвідування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229" w:type="dxa"/>
          </w:tcPr>
          <w:p>
            <w:pPr>
              <w:tabs>
                <w:tab w:val="left" w:pos="284"/>
                <w:tab w:val="left" w:pos="567"/>
              </w:tabs>
              <w:spacing w:after="0" w:line="240" w:lineRule="auto"/>
              <w:jc w:val="both"/>
              <w:rPr>
                <w:rFonts w:ascii="Times New Roman" w:hAnsi="Times New Roman" w:eastAsia="TimesNewRoman" w:cs="Times New Roman"/>
                <w:sz w:val="24"/>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22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pStyle w:val="6"/>
        <w:ind w:firstLine="708"/>
        <w:jc w:val="both"/>
        <w:rPr>
          <w:b/>
          <w:bCs/>
          <w:sz w:val="24"/>
          <w:lang w:val="uk-UA"/>
        </w:rPr>
      </w:pPr>
    </w:p>
    <w:p>
      <w:pPr>
        <w:ind w:left="426"/>
        <w:jc w:val="both"/>
        <w:rPr>
          <w:rFonts w:ascii="Times New Roman" w:hAnsi="Times New Roman" w:cs="Times New Roman"/>
          <w:bCs/>
          <w:spacing w:val="-6"/>
          <w:sz w:val="24"/>
        </w:rPr>
      </w:pPr>
    </w:p>
    <w:p>
      <w:pPr>
        <w:ind w:left="426"/>
        <w:jc w:val="both"/>
        <w:rPr>
          <w:rFonts w:ascii="Times New Roman" w:hAnsi="Times New Roman" w:cs="Times New Roman"/>
          <w:bCs/>
          <w:spacing w:val="-6"/>
          <w:sz w:val="24"/>
        </w:rPr>
      </w:pPr>
    </w:p>
    <w:p>
      <w:pPr>
        <w:jc w:val="both"/>
        <w:rPr>
          <w:rFonts w:ascii="Times New Roman" w:hAnsi="Times New Roman" w:cs="Times New Roman"/>
          <w:b/>
          <w:sz w:val="24"/>
          <w:szCs w:val="24"/>
        </w:rPr>
      </w:pPr>
      <w:bookmarkStart w:id="0" w:name="_GoBack"/>
      <w:bookmarkEnd w:id="0"/>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TimesNewRoman">
    <w:altName w:val="Hiragino Sans"/>
    <w:panose1 w:val="00000000000000000000"/>
    <w:charset w:val="80"/>
    <w:family w:val="auto"/>
    <w:pitch w:val="default"/>
    <w:sig w:usb0="00000000" w:usb1="00000000" w:usb2="00000010" w:usb3="00000000" w:csb0="0002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32A"/>
    <w:multiLevelType w:val="multilevel"/>
    <w:tmpl w:val="1885532A"/>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
    <w:nsid w:val="1BC6337A"/>
    <w:multiLevelType w:val="multilevel"/>
    <w:tmpl w:val="1BC6337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C5C069E"/>
    <w:multiLevelType w:val="multilevel"/>
    <w:tmpl w:val="2C5C069E"/>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3">
    <w:nsid w:val="39566AB7"/>
    <w:multiLevelType w:val="multilevel"/>
    <w:tmpl w:val="39566AB7"/>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55D179CC"/>
    <w:multiLevelType w:val="multilevel"/>
    <w:tmpl w:val="55D179C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142D5"/>
    <w:rsid w:val="0001550E"/>
    <w:rsid w:val="00022CAB"/>
    <w:rsid w:val="00035310"/>
    <w:rsid w:val="000474BE"/>
    <w:rsid w:val="00060228"/>
    <w:rsid w:val="000668B0"/>
    <w:rsid w:val="000838A5"/>
    <w:rsid w:val="00086DF1"/>
    <w:rsid w:val="00090C59"/>
    <w:rsid w:val="000963DC"/>
    <w:rsid w:val="000968BD"/>
    <w:rsid w:val="000B0008"/>
    <w:rsid w:val="000C3454"/>
    <w:rsid w:val="000D69EC"/>
    <w:rsid w:val="000E5773"/>
    <w:rsid w:val="000E6ABA"/>
    <w:rsid w:val="000F1E7C"/>
    <w:rsid w:val="00110FFE"/>
    <w:rsid w:val="00112DF1"/>
    <w:rsid w:val="001220E5"/>
    <w:rsid w:val="0013312D"/>
    <w:rsid w:val="00147CA5"/>
    <w:rsid w:val="001512F1"/>
    <w:rsid w:val="00154C3D"/>
    <w:rsid w:val="001666C5"/>
    <w:rsid w:val="00170AD3"/>
    <w:rsid w:val="001823C7"/>
    <w:rsid w:val="001A3CC0"/>
    <w:rsid w:val="001B5012"/>
    <w:rsid w:val="001C2E13"/>
    <w:rsid w:val="001C4800"/>
    <w:rsid w:val="001E036B"/>
    <w:rsid w:val="0020008C"/>
    <w:rsid w:val="00200813"/>
    <w:rsid w:val="0023189C"/>
    <w:rsid w:val="00246A5B"/>
    <w:rsid w:val="00255CCF"/>
    <w:rsid w:val="002567B2"/>
    <w:rsid w:val="002621B5"/>
    <w:rsid w:val="00265AB9"/>
    <w:rsid w:val="00291490"/>
    <w:rsid w:val="00294E8A"/>
    <w:rsid w:val="0029693D"/>
    <w:rsid w:val="0029704F"/>
    <w:rsid w:val="002B5D05"/>
    <w:rsid w:val="002B5E45"/>
    <w:rsid w:val="002C1578"/>
    <w:rsid w:val="002C3E1A"/>
    <w:rsid w:val="002D6EAC"/>
    <w:rsid w:val="002E398D"/>
    <w:rsid w:val="002F3A04"/>
    <w:rsid w:val="0031763F"/>
    <w:rsid w:val="00324625"/>
    <w:rsid w:val="003520DA"/>
    <w:rsid w:val="00353240"/>
    <w:rsid w:val="003607B5"/>
    <w:rsid w:val="00371166"/>
    <w:rsid w:val="0037198D"/>
    <w:rsid w:val="00372487"/>
    <w:rsid w:val="003758AD"/>
    <w:rsid w:val="00377564"/>
    <w:rsid w:val="00395881"/>
    <w:rsid w:val="00395883"/>
    <w:rsid w:val="003A1B35"/>
    <w:rsid w:val="003A6AE1"/>
    <w:rsid w:val="003B2BD1"/>
    <w:rsid w:val="003B701F"/>
    <w:rsid w:val="003C59C0"/>
    <w:rsid w:val="003E78EB"/>
    <w:rsid w:val="003F75A8"/>
    <w:rsid w:val="004113ED"/>
    <w:rsid w:val="00421927"/>
    <w:rsid w:val="004229F5"/>
    <w:rsid w:val="004563A3"/>
    <w:rsid w:val="00464607"/>
    <w:rsid w:val="00474594"/>
    <w:rsid w:val="00484403"/>
    <w:rsid w:val="00487750"/>
    <w:rsid w:val="004A4E9E"/>
    <w:rsid w:val="004B44E4"/>
    <w:rsid w:val="004C37DA"/>
    <w:rsid w:val="004D224B"/>
    <w:rsid w:val="004D5660"/>
    <w:rsid w:val="00530816"/>
    <w:rsid w:val="00531126"/>
    <w:rsid w:val="0053225B"/>
    <w:rsid w:val="00543A92"/>
    <w:rsid w:val="00571E70"/>
    <w:rsid w:val="005839FE"/>
    <w:rsid w:val="005871A6"/>
    <w:rsid w:val="00592810"/>
    <w:rsid w:val="005A7553"/>
    <w:rsid w:val="005A7AA5"/>
    <w:rsid w:val="005B3A52"/>
    <w:rsid w:val="005D462F"/>
    <w:rsid w:val="005E430C"/>
    <w:rsid w:val="005E53B6"/>
    <w:rsid w:val="005E5599"/>
    <w:rsid w:val="005F3825"/>
    <w:rsid w:val="005F606F"/>
    <w:rsid w:val="00622338"/>
    <w:rsid w:val="0063013B"/>
    <w:rsid w:val="00632662"/>
    <w:rsid w:val="00633166"/>
    <w:rsid w:val="006348E4"/>
    <w:rsid w:val="00661710"/>
    <w:rsid w:val="006B39B6"/>
    <w:rsid w:val="006C5C0A"/>
    <w:rsid w:val="006D2B4B"/>
    <w:rsid w:val="006E0793"/>
    <w:rsid w:val="006E2869"/>
    <w:rsid w:val="006E7259"/>
    <w:rsid w:val="006F2872"/>
    <w:rsid w:val="006F7E05"/>
    <w:rsid w:val="007233EF"/>
    <w:rsid w:val="00740E45"/>
    <w:rsid w:val="00745231"/>
    <w:rsid w:val="00753E89"/>
    <w:rsid w:val="00757015"/>
    <w:rsid w:val="00766C01"/>
    <w:rsid w:val="0078790E"/>
    <w:rsid w:val="00787BB8"/>
    <w:rsid w:val="007912E9"/>
    <w:rsid w:val="007944E8"/>
    <w:rsid w:val="007D65B8"/>
    <w:rsid w:val="007E2646"/>
    <w:rsid w:val="007F2861"/>
    <w:rsid w:val="007F53EC"/>
    <w:rsid w:val="008135AD"/>
    <w:rsid w:val="00846175"/>
    <w:rsid w:val="00856E0C"/>
    <w:rsid w:val="00872736"/>
    <w:rsid w:val="008733B0"/>
    <w:rsid w:val="00873F85"/>
    <w:rsid w:val="008809E8"/>
    <w:rsid w:val="00880BAC"/>
    <w:rsid w:val="00886C22"/>
    <w:rsid w:val="008A52E3"/>
    <w:rsid w:val="008B7AB3"/>
    <w:rsid w:val="008C3905"/>
    <w:rsid w:val="008C740E"/>
    <w:rsid w:val="008D5CEE"/>
    <w:rsid w:val="008E212B"/>
    <w:rsid w:val="008F1502"/>
    <w:rsid w:val="008F65D3"/>
    <w:rsid w:val="008F7638"/>
    <w:rsid w:val="00906503"/>
    <w:rsid w:val="00912931"/>
    <w:rsid w:val="00912D1B"/>
    <w:rsid w:val="009216B8"/>
    <w:rsid w:val="00926690"/>
    <w:rsid w:val="00945524"/>
    <w:rsid w:val="00963DF3"/>
    <w:rsid w:val="00976026"/>
    <w:rsid w:val="00995A90"/>
    <w:rsid w:val="009C02DF"/>
    <w:rsid w:val="009F3413"/>
    <w:rsid w:val="00A06637"/>
    <w:rsid w:val="00A11B5D"/>
    <w:rsid w:val="00A14F99"/>
    <w:rsid w:val="00A20961"/>
    <w:rsid w:val="00A22147"/>
    <w:rsid w:val="00A36AEE"/>
    <w:rsid w:val="00A40F5A"/>
    <w:rsid w:val="00A65B9E"/>
    <w:rsid w:val="00A72D32"/>
    <w:rsid w:val="00AA3454"/>
    <w:rsid w:val="00AB31FF"/>
    <w:rsid w:val="00AC5066"/>
    <w:rsid w:val="00AC64BF"/>
    <w:rsid w:val="00AD5B28"/>
    <w:rsid w:val="00AD6D50"/>
    <w:rsid w:val="00B01F90"/>
    <w:rsid w:val="00B13D0F"/>
    <w:rsid w:val="00B16DDD"/>
    <w:rsid w:val="00B176C7"/>
    <w:rsid w:val="00B17A00"/>
    <w:rsid w:val="00B21F1D"/>
    <w:rsid w:val="00B46BC2"/>
    <w:rsid w:val="00B5602C"/>
    <w:rsid w:val="00B70E20"/>
    <w:rsid w:val="00B7661F"/>
    <w:rsid w:val="00B76F7A"/>
    <w:rsid w:val="00B82652"/>
    <w:rsid w:val="00B83657"/>
    <w:rsid w:val="00B900AD"/>
    <w:rsid w:val="00B96B32"/>
    <w:rsid w:val="00BA0648"/>
    <w:rsid w:val="00BA5AF6"/>
    <w:rsid w:val="00BC3238"/>
    <w:rsid w:val="00BD09E5"/>
    <w:rsid w:val="00BD58B9"/>
    <w:rsid w:val="00BE36CD"/>
    <w:rsid w:val="00BF0DCC"/>
    <w:rsid w:val="00BF379C"/>
    <w:rsid w:val="00C15F59"/>
    <w:rsid w:val="00C173A1"/>
    <w:rsid w:val="00C32AC1"/>
    <w:rsid w:val="00C54FB1"/>
    <w:rsid w:val="00C60DCF"/>
    <w:rsid w:val="00C65C7B"/>
    <w:rsid w:val="00C65F69"/>
    <w:rsid w:val="00C75674"/>
    <w:rsid w:val="00C80F24"/>
    <w:rsid w:val="00C81BD4"/>
    <w:rsid w:val="00C85589"/>
    <w:rsid w:val="00C85CB8"/>
    <w:rsid w:val="00C95DBF"/>
    <w:rsid w:val="00CA0EED"/>
    <w:rsid w:val="00CA1B66"/>
    <w:rsid w:val="00CA28E7"/>
    <w:rsid w:val="00CA43D1"/>
    <w:rsid w:val="00CE0A75"/>
    <w:rsid w:val="00CE0BC8"/>
    <w:rsid w:val="00CF0147"/>
    <w:rsid w:val="00CF38FE"/>
    <w:rsid w:val="00CF7B63"/>
    <w:rsid w:val="00D1431A"/>
    <w:rsid w:val="00D25775"/>
    <w:rsid w:val="00D4199B"/>
    <w:rsid w:val="00D42B62"/>
    <w:rsid w:val="00D44328"/>
    <w:rsid w:val="00D44F54"/>
    <w:rsid w:val="00D46615"/>
    <w:rsid w:val="00D46B73"/>
    <w:rsid w:val="00D53949"/>
    <w:rsid w:val="00D56BFF"/>
    <w:rsid w:val="00D61AB9"/>
    <w:rsid w:val="00D66059"/>
    <w:rsid w:val="00D72547"/>
    <w:rsid w:val="00D72CF1"/>
    <w:rsid w:val="00D7410C"/>
    <w:rsid w:val="00DA4300"/>
    <w:rsid w:val="00DB10D9"/>
    <w:rsid w:val="00DC3EF4"/>
    <w:rsid w:val="00DD44B6"/>
    <w:rsid w:val="00DD49E4"/>
    <w:rsid w:val="00DD5365"/>
    <w:rsid w:val="00DE4E6F"/>
    <w:rsid w:val="00DF618D"/>
    <w:rsid w:val="00E03272"/>
    <w:rsid w:val="00E0490E"/>
    <w:rsid w:val="00E05661"/>
    <w:rsid w:val="00E21327"/>
    <w:rsid w:val="00E22534"/>
    <w:rsid w:val="00E271CB"/>
    <w:rsid w:val="00E33C03"/>
    <w:rsid w:val="00E51E49"/>
    <w:rsid w:val="00E95668"/>
    <w:rsid w:val="00EA5BBB"/>
    <w:rsid w:val="00EC47B3"/>
    <w:rsid w:val="00ED0B47"/>
    <w:rsid w:val="00ED4A1E"/>
    <w:rsid w:val="00ED679D"/>
    <w:rsid w:val="00EE1595"/>
    <w:rsid w:val="00EE3967"/>
    <w:rsid w:val="00EF2C86"/>
    <w:rsid w:val="00EF37F4"/>
    <w:rsid w:val="00F0134F"/>
    <w:rsid w:val="00F20A92"/>
    <w:rsid w:val="00F23949"/>
    <w:rsid w:val="00F57A38"/>
    <w:rsid w:val="00F57AEF"/>
    <w:rsid w:val="00F622CF"/>
    <w:rsid w:val="00F66F80"/>
    <w:rsid w:val="00FA030D"/>
    <w:rsid w:val="00FA2FDA"/>
    <w:rsid w:val="00FA656E"/>
    <w:rsid w:val="00FC6300"/>
    <w:rsid w:val="00FC74B7"/>
    <w:rsid w:val="00FD2F64"/>
    <w:rsid w:val="00FD6660"/>
    <w:rsid w:val="00FD7C58"/>
    <w:rsid w:val="00FF58ED"/>
    <w:rsid w:val="00FF68F5"/>
    <w:rsid w:val="3FBF529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2"/>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5"/>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4">
    <w:name w:val="heading 7"/>
    <w:basedOn w:val="1"/>
    <w:next w:val="1"/>
    <w:link w:val="16"/>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7">
    <w:name w:val="Default Paragraph Font"/>
    <w:unhideWhenUsed/>
    <w:uiPriority w:val="1"/>
  </w:style>
  <w:style w:type="table" w:default="1" w:styleId="10">
    <w:name w:val="Normal Table"/>
    <w:unhideWhenUsed/>
    <w:uiPriority w:val="99"/>
    <w:tblPr>
      <w:tblCellMar>
        <w:top w:w="0" w:type="dxa"/>
        <w:left w:w="108" w:type="dxa"/>
        <w:bottom w:w="0" w:type="dxa"/>
        <w:right w:w="108" w:type="dxa"/>
      </w:tblCellMar>
    </w:tblPr>
  </w:style>
  <w:style w:type="paragraph" w:styleId="5">
    <w:name w:val="Balloon Text"/>
    <w:basedOn w:val="1"/>
    <w:link w:val="18"/>
    <w:unhideWhenUsed/>
    <w:uiPriority w:val="99"/>
    <w:pPr>
      <w:spacing w:after="0" w:line="240" w:lineRule="auto"/>
    </w:pPr>
    <w:rPr>
      <w:rFonts w:ascii="Tahoma" w:hAnsi="Tahoma" w:cs="Tahoma"/>
      <w:sz w:val="16"/>
      <w:szCs w:val="16"/>
    </w:rPr>
  </w:style>
  <w:style w:type="paragraph" w:styleId="6">
    <w:name w:val="Body Text"/>
    <w:basedOn w:val="1"/>
    <w:link w:val="17"/>
    <w:uiPriority w:val="0"/>
    <w:pPr>
      <w:spacing w:after="120" w:line="240" w:lineRule="auto"/>
    </w:pPr>
    <w:rPr>
      <w:rFonts w:ascii="Times New Roman" w:hAnsi="Times New Roman" w:eastAsia="Times New Roman" w:cs="Times New Roman"/>
      <w:sz w:val="28"/>
      <w:szCs w:val="24"/>
      <w:lang w:val="ru-RU" w:eastAsia="ru-RU"/>
    </w:rPr>
  </w:style>
  <w:style w:type="character" w:styleId="8">
    <w:name w:val="FollowedHyperlink"/>
    <w:basedOn w:val="7"/>
    <w:unhideWhenUsed/>
    <w:uiPriority w:val="99"/>
    <w:rPr>
      <w:color w:val="800080" w:themeColor="followedHyperlink"/>
      <w:u w:val="single"/>
      <w14:textFill>
        <w14:solidFill>
          <w14:schemeClr w14:val="folHlink"/>
        </w14:solidFill>
      </w14:textFill>
    </w:rPr>
  </w:style>
  <w:style w:type="character" w:styleId="9">
    <w:name w:val="Hyperlink"/>
    <w:basedOn w:val="7"/>
    <w:unhideWhenUsed/>
    <w:uiPriority w:val="99"/>
    <w:rPr>
      <w:color w:val="0000FF" w:themeColor="hyperlink"/>
      <w:u w:val="single"/>
      <w14:textFill>
        <w14:solidFill>
          <w14:schemeClr w14:val="hlink"/>
        </w14:solidFill>
      </w14:textFill>
    </w:rPr>
  </w:style>
  <w:style w:type="table" w:styleId="11">
    <w:name w:val="Table Grid"/>
    <w:basedOn w:val="1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Заголовок 1 Знак"/>
    <w:basedOn w:val="7"/>
    <w:link w:val="2"/>
    <w:uiPriority w:val="0"/>
    <w:rPr>
      <w:rFonts w:ascii="Times New Roman" w:hAnsi="Times New Roman" w:eastAsia="Times New Roman" w:cs="Times New Roman"/>
      <w:sz w:val="32"/>
      <w:szCs w:val="24"/>
      <w:lang w:eastAsia="ru-RU"/>
    </w:rPr>
  </w:style>
  <w:style w:type="paragraph" w:customStyle="1" w:styleId="13">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4">
    <w:name w:val="List Paragraph"/>
    <w:basedOn w:val="1"/>
    <w:qFormat/>
    <w:uiPriority w:val="34"/>
    <w:pPr>
      <w:ind w:left="720"/>
      <w:contextualSpacing/>
    </w:pPr>
  </w:style>
  <w:style w:type="character" w:customStyle="1" w:styleId="15">
    <w:name w:val="Заголовок 4 Знак"/>
    <w:basedOn w:val="7"/>
    <w:link w:val="3"/>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6">
    <w:name w:val="Заголовок 7 Знак"/>
    <w:basedOn w:val="7"/>
    <w:link w:val="4"/>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7">
    <w:name w:val="Основний текст Знак"/>
    <w:basedOn w:val="7"/>
    <w:link w:val="6"/>
    <w:uiPriority w:val="0"/>
    <w:rPr>
      <w:rFonts w:ascii="Times New Roman" w:hAnsi="Times New Roman" w:eastAsia="Times New Roman" w:cs="Times New Roman"/>
      <w:sz w:val="28"/>
      <w:szCs w:val="24"/>
      <w:lang w:val="ru-RU" w:eastAsia="ru-RU"/>
    </w:rPr>
  </w:style>
  <w:style w:type="character" w:customStyle="1" w:styleId="18">
    <w:name w:val="Текст у виносці Знак"/>
    <w:basedOn w:val="7"/>
    <w:link w:val="5"/>
    <w:semiHidden/>
    <w:uiPriority w:val="99"/>
    <w:rPr>
      <w:rFonts w:ascii="Tahoma" w:hAnsi="Tahoma" w:cs="Tahoma"/>
      <w:sz w:val="16"/>
      <w:szCs w:val="16"/>
    </w:rPr>
  </w:style>
  <w:style w:type="paragraph" w:customStyle="1" w:styleId="1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10801</Words>
  <Characters>6158</Characters>
  <Lines>51</Lines>
  <Paragraphs>33</Paragraphs>
  <TotalTime>0</TotalTime>
  <ScaleCrop>false</ScaleCrop>
  <LinksUpToDate>false</LinksUpToDate>
  <CharactersWithSpaces>16926</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2021-01-27T12:15:00Z</dcterms:created>
  <dc:creator>Taras Pyts</dc:creator>
  <cp:lastModifiedBy>olgadenys</cp:lastModifiedBy>
  <cp:lastPrinted>2020-01-27T13:28:00Z</cp:lastPrinted>
  <dcterms:modified xsi:type="dcterms:W3CDTF">2021-02-18T18:26:11Z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