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pPr>
      <w:r>
        <w:rPr>
          <w:rFonts w:ascii="Times New Roman" w:hAnsi="Times New Roman" w:eastAsia="Times New Roman" w:cs="Times New Roman"/>
          <w:b/>
          <w:bCs/>
          <w:sz w:val="28"/>
          <w:szCs w:val="28"/>
          <w:lang w:val="uk-UA"/>
        </w:rPr>
        <w:t>Львівський національний університет імені Івана Франка</w:t>
      </w:r>
    </w:p>
    <w:p>
      <w:pPr>
        <w:spacing w:line="276" w:lineRule="auto"/>
        <w:jc w:val="center"/>
      </w:pPr>
      <w:r>
        <w:rPr>
          <w:rFonts w:ascii="Times New Roman" w:hAnsi="Times New Roman" w:eastAsia="Times New Roman" w:cs="Times New Roman"/>
          <w:b/>
          <w:bCs/>
          <w:sz w:val="28"/>
          <w:szCs w:val="28"/>
          <w:lang w:val="uk-UA"/>
        </w:rPr>
        <w:t>Кафедра міжкультурної комунікації та перекладу</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ind w:firstLine="851"/>
        <w:jc w:val="center"/>
      </w:pPr>
      <w:r>
        <w:rPr>
          <w:rFonts w:ascii="Times New Roman" w:hAnsi="Times New Roman" w:eastAsia="Times New Roman" w:cs="Times New Roman"/>
          <w:sz w:val="28"/>
          <w:szCs w:val="28"/>
          <w:lang w:val="uk-UA"/>
        </w:rPr>
        <w:t>“</w:t>
      </w:r>
      <w:r>
        <w:rPr>
          <w:rFonts w:ascii="Times New Roman" w:hAnsi="Times New Roman" w:eastAsia="Times New Roman" w:cs="Times New Roman"/>
          <w:b/>
          <w:bCs/>
          <w:sz w:val="28"/>
          <w:szCs w:val="28"/>
          <w:lang w:val="uk-UA"/>
        </w:rPr>
        <w:t>ЗАТВЕРДЖУЮ</w:t>
      </w:r>
      <w:r>
        <w:rPr>
          <w:rFonts w:ascii="Times New Roman" w:hAnsi="Times New Roman" w:eastAsia="Times New Roman" w:cs="Times New Roman"/>
          <w:sz w:val="28"/>
          <w:szCs w:val="28"/>
          <w:lang w:val="uk-UA"/>
        </w:rPr>
        <w:t>”</w:t>
      </w:r>
    </w:p>
    <w:p>
      <w:pPr>
        <w:jc w:val="right"/>
      </w:pPr>
      <w:r>
        <w:rPr>
          <w:rFonts w:ascii="Times New Roman" w:hAnsi="Times New Roman" w:eastAsia="Times New Roman" w:cs="Times New Roman"/>
          <w:b/>
          <w:bCs/>
          <w:sz w:val="24"/>
          <w:szCs w:val="24"/>
          <w:lang w:val="uk-UA"/>
        </w:rPr>
        <w:t xml:space="preserve">Завідувач кафедри міжкультурної </w:t>
      </w:r>
    </w:p>
    <w:p>
      <w:pPr>
        <w:jc w:val="right"/>
      </w:pPr>
      <w:r>
        <w:rPr>
          <w:rFonts w:ascii="Times New Roman" w:hAnsi="Times New Roman" w:eastAsia="Times New Roman" w:cs="Times New Roman"/>
          <w:b/>
          <w:bCs/>
          <w:sz w:val="24"/>
          <w:szCs w:val="24"/>
          <w:lang w:val="uk-UA"/>
        </w:rPr>
        <w:t>комунікації та перекладу</w:t>
      </w:r>
    </w:p>
    <w:p>
      <w:pPr>
        <w:jc w:val="right"/>
      </w:pPr>
      <w:r>
        <w:rPr>
          <w:rFonts w:ascii="Times New Roman" w:hAnsi="Times New Roman" w:eastAsia="Times New Roman" w:cs="Times New Roman"/>
          <w:sz w:val="24"/>
          <w:szCs w:val="24"/>
          <w:lang w:val="ru"/>
        </w:rPr>
        <w:t xml:space="preserve">_________________А. Й. Паславська </w:t>
      </w:r>
    </w:p>
    <w:p>
      <w:pPr>
        <w:jc w:val="right"/>
      </w:pPr>
      <w:r>
        <w:rPr>
          <w:rFonts w:ascii="Times New Roman" w:hAnsi="Times New Roman" w:eastAsia="Times New Roman" w:cs="Times New Roman"/>
          <w:sz w:val="24"/>
          <w:szCs w:val="24"/>
          <w:lang w:val="ru"/>
        </w:rPr>
        <w:t>“______” ______________20___ р</w:t>
      </w:r>
      <w:r>
        <w:rPr>
          <w:rFonts w:ascii="Times New Roman" w:hAnsi="Times New Roman" w:eastAsia="Times New Roman" w:cs="Times New Roman"/>
          <w:sz w:val="24"/>
          <w:szCs w:val="24"/>
          <w:lang w:val="uk-UA"/>
        </w:rPr>
        <w:t>оку</w:t>
      </w:r>
    </w:p>
    <w:p>
      <w:pPr>
        <w:jc w:val="right"/>
      </w:pPr>
      <w:r>
        <w:rPr>
          <w:rFonts w:ascii="Times New Roman" w:hAnsi="Times New Roman" w:eastAsia="Times New Roman" w:cs="Times New Roman"/>
          <w:sz w:val="28"/>
          <w:szCs w:val="28"/>
          <w:lang w:val="uk-UA"/>
        </w:rPr>
        <w:t xml:space="preserve"> </w:t>
      </w:r>
    </w:p>
    <w:p>
      <w:pPr>
        <w:spacing w:line="276" w:lineRule="auto"/>
        <w:jc w:val="center"/>
      </w:pPr>
      <w:r>
        <w:rPr>
          <w:rFonts w:ascii="Times New Roman" w:hAnsi="Times New Roman" w:eastAsia="Times New Roman" w:cs="Times New Roman"/>
          <w:sz w:val="28"/>
          <w:szCs w:val="28"/>
          <w:lang w:val="uk-UA"/>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С И Л А Б У С</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ПЕРЕКЛАД КОНФЕРЕНЦІЙ</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pPr>
      <w:r>
        <w:rPr>
          <w:rFonts w:ascii="Times New Roman" w:hAnsi="Times New Roman" w:eastAsia="Times New Roman" w:cs="Times New Roman"/>
          <w:b/>
          <w:bCs/>
          <w:sz w:val="28"/>
          <w:szCs w:val="28"/>
          <w:lang w:val="uk-UA"/>
        </w:rPr>
        <w:t>Освітній ступінь Бакалавр</w:t>
      </w:r>
    </w:p>
    <w:p>
      <w:pPr>
        <w:spacing w:line="276" w:lineRule="auto"/>
      </w:pPr>
      <w:r>
        <w:rPr>
          <w:rFonts w:ascii="Times New Roman" w:hAnsi="Times New Roman" w:eastAsia="Times New Roman" w:cs="Times New Roman"/>
          <w:b/>
          <w:bCs/>
          <w:sz w:val="28"/>
          <w:szCs w:val="28"/>
          <w:lang w:val="uk-UA"/>
        </w:rPr>
        <w:t>Галузь знань 03 Гуманітарні науки</w:t>
      </w:r>
    </w:p>
    <w:p>
      <w:pPr>
        <w:spacing w:line="276" w:lineRule="auto"/>
      </w:pPr>
      <w:r>
        <w:rPr>
          <w:rFonts w:ascii="Times New Roman" w:hAnsi="Times New Roman" w:eastAsia="Times New Roman" w:cs="Times New Roman"/>
          <w:b/>
          <w:bCs/>
          <w:sz w:val="28"/>
          <w:szCs w:val="28"/>
          <w:lang w:val="uk-UA"/>
        </w:rPr>
        <w:t>Спеціальність 035 Філологія</w:t>
      </w:r>
    </w:p>
    <w:p>
      <w:pPr>
        <w:spacing w:line="276" w:lineRule="auto"/>
        <w:ind w:left="2127" w:hanging="2127"/>
      </w:pPr>
      <w:r>
        <w:rPr>
          <w:rFonts w:ascii="Times New Roman" w:hAnsi="Times New Roman" w:eastAsia="Times New Roman" w:cs="Times New Roman"/>
          <w:b/>
          <w:bCs/>
          <w:sz w:val="28"/>
          <w:szCs w:val="28"/>
          <w:lang w:val="uk-UA"/>
        </w:rPr>
        <w:t xml:space="preserve">Спеціалізація 035.04 Германські мови та літератури </w:t>
      </w:r>
    </w:p>
    <w:p>
      <w:pPr>
        <w:spacing w:line="276" w:lineRule="auto"/>
        <w:ind w:left="2127" w:hanging="2127"/>
      </w:pPr>
      <w:r>
        <w:rPr>
          <w:rFonts w:ascii="Times New Roman" w:hAnsi="Times New Roman" w:eastAsia="Times New Roman" w:cs="Times New Roman"/>
          <w:b/>
          <w:bCs/>
          <w:sz w:val="28"/>
          <w:szCs w:val="28"/>
          <w:lang w:val="uk-UA"/>
        </w:rPr>
        <w:t xml:space="preserve">                              (переклад включно)</w:t>
      </w:r>
    </w:p>
    <w:p>
      <w:pPr>
        <w:spacing w:line="276" w:lineRule="auto"/>
        <w:ind w:left="2127" w:hanging="2127"/>
      </w:pPr>
      <w:r>
        <w:rPr>
          <w:rFonts w:ascii="Times New Roman" w:hAnsi="Times New Roman" w:eastAsia="Times New Roman" w:cs="Times New Roman"/>
          <w:b/>
          <w:bCs/>
          <w:sz w:val="28"/>
          <w:szCs w:val="28"/>
          <w:lang w:val="uk-UA"/>
        </w:rPr>
        <w:t>Освітня програма: Переклад (німецька мова)</w:t>
      </w:r>
    </w:p>
    <w:p>
      <w:pPr>
        <w:spacing w:line="276" w:lineRule="auto"/>
        <w:jc w:val="center"/>
      </w:pPr>
      <w:r>
        <w:rPr>
          <w:rFonts w:ascii="Times New Roman" w:hAnsi="Times New Roman" w:eastAsia="Times New Roman" w:cs="Times New Roman"/>
          <w:b/>
          <w:bCs/>
          <w:sz w:val="24"/>
          <w:szCs w:val="24"/>
          <w:lang w:val="ru"/>
        </w:rPr>
        <w:t xml:space="preserve"> </w:t>
      </w:r>
    </w:p>
    <w:p>
      <w:pPr>
        <w:spacing w:line="276" w:lineRule="auto"/>
        <w:jc w:val="center"/>
      </w:pPr>
      <w:r>
        <w:rPr>
          <w:rFonts w:ascii="Times New Roman" w:hAnsi="Times New Roman" w:eastAsia="Times New Roman" w:cs="Times New Roman"/>
          <w:b/>
          <w:bCs/>
          <w:sz w:val="24"/>
          <w:szCs w:val="24"/>
          <w:lang w:val="ru"/>
        </w:rPr>
        <w:t xml:space="preserve"> </w:t>
      </w:r>
    </w:p>
    <w:p>
      <w:pPr>
        <w:spacing w:line="276" w:lineRule="auto"/>
      </w:pPr>
      <w:r>
        <w:rPr>
          <w:rFonts w:ascii="Times New Roman" w:hAnsi="Times New Roman" w:eastAsia="Times New Roman" w:cs="Times New Roman"/>
          <w:b/>
          <w:bCs/>
          <w:sz w:val="24"/>
          <w:szCs w:val="24"/>
          <w:lang w:val="ru"/>
        </w:rPr>
        <w:t xml:space="preserve"> </w:t>
      </w:r>
    </w:p>
    <w:p>
      <w:pPr>
        <w:spacing w:line="276" w:lineRule="auto"/>
      </w:pPr>
      <w:r>
        <w:rPr>
          <w:rFonts w:ascii="Times New Roman" w:hAnsi="Times New Roman" w:eastAsia="Times New Roman" w:cs="Times New Roman"/>
          <w:b/>
          <w:bCs/>
          <w:sz w:val="24"/>
          <w:szCs w:val="24"/>
          <w:lang w:val="ru"/>
        </w:rPr>
        <w:t xml:space="preserve"> </w:t>
      </w:r>
    </w:p>
    <w:p>
      <w:pPr>
        <w:spacing w:line="276" w:lineRule="auto"/>
        <w:jc w:val="center"/>
      </w:pPr>
      <w:r>
        <w:rPr>
          <w:rFonts w:ascii="Times New Roman" w:hAnsi="Times New Roman" w:eastAsia="Times New Roman" w:cs="Times New Roman"/>
          <w:b/>
          <w:bCs/>
          <w:sz w:val="28"/>
          <w:szCs w:val="28"/>
          <w:lang w:val="ru"/>
        </w:rPr>
        <w:t>Львів – 2021 рік</w:t>
      </w:r>
      <w:r>
        <w:br w:type="textWrapping"/>
      </w:r>
      <w:r>
        <w:rPr>
          <w:rFonts w:ascii="Times New Roman" w:hAnsi="Times New Roman" w:eastAsia="Times New Roman" w:cs="Times New Roman"/>
          <w:b/>
          <w:bCs/>
          <w:sz w:val="28"/>
          <w:szCs w:val="28"/>
          <w:lang w:val="ru"/>
        </w:rPr>
        <w:t xml:space="preserve"> </w:t>
      </w:r>
      <w:r>
        <w:rPr>
          <w:rFonts w:ascii="Times New Roman" w:hAnsi="Times New Roman" w:eastAsia="Times New Roman" w:cs="Times New Roman"/>
          <w:b/>
          <w:bCs/>
          <w:sz w:val="24"/>
          <w:szCs w:val="24"/>
          <w:lang w:val="uk-UA"/>
        </w:rPr>
        <w:t>Силабус курсу «Переклад конференцій»</w:t>
      </w:r>
    </w:p>
    <w:p>
      <w:pPr>
        <w:spacing w:line="276" w:lineRule="auto"/>
        <w:jc w:val="center"/>
      </w:pPr>
      <w:r>
        <w:rPr>
          <w:rFonts w:ascii="Times New Roman" w:hAnsi="Times New Roman" w:eastAsia="Times New Roman" w:cs="Times New Roman"/>
          <w:b/>
          <w:bCs/>
          <w:sz w:val="24"/>
          <w:szCs w:val="24"/>
          <w:lang w:val="uk-UA"/>
        </w:rPr>
        <w:t>2020/2021 навчального року</w:t>
      </w:r>
    </w:p>
    <w:p>
      <w:pPr>
        <w:spacing w:line="276" w:lineRule="auto"/>
        <w:jc w:val="center"/>
      </w:pPr>
      <w:r>
        <w:rPr>
          <w:rFonts w:ascii="Times New Roman" w:hAnsi="Times New Roman" w:eastAsia="Times New Roman" w:cs="Times New Roman"/>
          <w:b/>
          <w:bCs/>
          <w:sz w:val="24"/>
          <w:szCs w:val="24"/>
          <w:lang w:val="uk-UA"/>
        </w:rPr>
        <w:t xml:space="preserve"> </w:t>
      </w:r>
    </w:p>
    <w:tbl>
      <w:tblPr>
        <w:tblStyle w:val="4"/>
        <w:tblW w:w="0" w:type="auto"/>
        <w:tblInd w:w="0" w:type="dxa"/>
        <w:tblLayout w:type="fixed"/>
        <w:tblCellMar>
          <w:top w:w="0" w:type="dxa"/>
          <w:left w:w="108" w:type="dxa"/>
          <w:bottom w:w="0" w:type="dxa"/>
          <w:right w:w="108" w:type="dxa"/>
        </w:tblCellMar>
      </w:tblPr>
      <w:tblGrid>
        <w:gridCol w:w="2911"/>
        <w:gridCol w:w="6104"/>
      </w:tblGrid>
      <w:tr>
        <w:tc>
          <w:tcPr>
            <w:tcW w:w="2911"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b/>
                <w:bCs/>
                <w:sz w:val="24"/>
                <w:szCs w:val="24"/>
                <w:lang w:val="ru"/>
              </w:rPr>
              <w:t>Назва курсу</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Переклад конференцій</w:t>
            </w:r>
          </w:p>
        </w:tc>
      </w:tr>
      <w:tr>
        <w:tc>
          <w:tcPr>
            <w:tcW w:w="2911"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b/>
                <w:bCs/>
                <w:sz w:val="24"/>
                <w:szCs w:val="24"/>
              </w:rPr>
              <w:t>Адреса викладання курсу</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eastAsia="Times New Roman" w:cs="Times New Roman"/>
                <w:sz w:val="24"/>
                <w:szCs w:val="24"/>
                <w:lang w:val="ru"/>
              </w:rPr>
              <w:t>,</w:t>
            </w:r>
            <w:r>
              <w:rPr>
                <w:rFonts w:ascii="Times New Roman" w:hAnsi="Times New Roman" w:eastAsia="Times New Roman" w:cs="Times New Roman"/>
                <w:sz w:val="24"/>
                <w:szCs w:val="24"/>
              </w:rPr>
              <w:t xml:space="preserve"> 1</w:t>
            </w:r>
          </w:p>
        </w:tc>
      </w:tr>
      <w:tr>
        <w:tc>
          <w:tcPr>
            <w:tcW w:w="2911"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b/>
                <w:bCs/>
                <w:sz w:val="24"/>
                <w:szCs w:val="24"/>
              </w:rPr>
              <w:t>Факультет та кафедра, за якою закріплена дисципліна</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 xml:space="preserve">Факультет іноземних мов, </w:t>
            </w:r>
          </w:p>
          <w:p>
            <w:pPr>
              <w:jc w:val="both"/>
            </w:pPr>
            <w:r>
              <w:rPr>
                <w:rFonts w:ascii="Times New Roman" w:hAnsi="Times New Roman" w:eastAsia="Times New Roman" w:cs="Times New Roman"/>
                <w:sz w:val="24"/>
                <w:szCs w:val="24"/>
              </w:rPr>
              <w:t>кафедра міжкультурної комунікації та перекладу</w:t>
            </w:r>
          </w:p>
        </w:tc>
      </w:tr>
      <w:tr>
        <w:tc>
          <w:tcPr>
            <w:tcW w:w="2911"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b/>
                <w:bCs/>
                <w:sz w:val="24"/>
                <w:szCs w:val="24"/>
              </w:rPr>
              <w:t>Галузь знань, шифр та назва спеціальності</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 xml:space="preserve">Галузь знань </w:t>
            </w:r>
            <w:r>
              <w:rPr>
                <w:rFonts w:ascii="Times New Roman" w:hAnsi="Times New Roman" w:eastAsia="Times New Roman" w:cs="Times New Roman"/>
                <w:i/>
                <w:iCs/>
                <w:sz w:val="24"/>
                <w:szCs w:val="24"/>
              </w:rPr>
              <w:t>03 Гуманітарні науки</w:t>
            </w:r>
          </w:p>
          <w:p>
            <w:pPr>
              <w:jc w:val="both"/>
            </w:pPr>
            <w:r>
              <w:rPr>
                <w:rFonts w:ascii="Times New Roman" w:hAnsi="Times New Roman" w:eastAsia="Times New Roman" w:cs="Times New Roman"/>
                <w:sz w:val="24"/>
                <w:szCs w:val="24"/>
              </w:rPr>
              <w:t xml:space="preserve">Спеціальність </w:t>
            </w:r>
            <w:r>
              <w:rPr>
                <w:rFonts w:ascii="Times New Roman" w:hAnsi="Times New Roman" w:eastAsia="Times New Roman" w:cs="Times New Roman"/>
                <w:i/>
                <w:iCs/>
                <w:sz w:val="24"/>
                <w:szCs w:val="24"/>
              </w:rPr>
              <w:t>035 Філологія</w:t>
            </w:r>
          </w:p>
          <w:p>
            <w:pPr>
              <w:jc w:val="both"/>
            </w:pPr>
            <w:r>
              <w:rPr>
                <w:rFonts w:ascii="Times New Roman" w:hAnsi="Times New Roman" w:eastAsia="Times New Roman" w:cs="Times New Roman"/>
                <w:sz w:val="24"/>
                <w:szCs w:val="24"/>
              </w:rPr>
              <w:t xml:space="preserve">Спеціалізація </w:t>
            </w:r>
            <w:r>
              <w:rPr>
                <w:rFonts w:ascii="Times New Roman" w:hAnsi="Times New Roman" w:eastAsia="Times New Roman" w:cs="Times New Roman"/>
                <w:i/>
                <w:iCs/>
                <w:sz w:val="24"/>
                <w:szCs w:val="24"/>
              </w:rPr>
              <w:t>Переклад (німецька мова)</w:t>
            </w:r>
          </w:p>
        </w:tc>
      </w:tr>
    </w:tbl>
    <w:p>
      <w:pPr>
        <w:spacing w:line="276" w:lineRule="auto"/>
        <w:jc w:val="center"/>
      </w:pPr>
      <w:r>
        <w:rPr>
          <w:rFonts w:ascii="Times New Roman" w:hAnsi="Times New Roman" w:eastAsia="Times New Roman" w:cs="Times New Roman"/>
          <w:b/>
          <w:bCs/>
          <w:sz w:val="24"/>
          <w:szCs w:val="24"/>
          <w:lang w:val="uk-UA"/>
        </w:rPr>
        <w:t xml:space="preserve"> </w:t>
      </w:r>
    </w:p>
    <w:p>
      <w:pPr>
        <w:spacing w:line="276" w:lineRule="auto"/>
        <w:jc w:val="center"/>
      </w:pPr>
      <w:r>
        <w:rPr>
          <w:rFonts w:ascii="Times New Roman" w:hAnsi="Times New Roman" w:eastAsia="Times New Roman" w:cs="Times New Roman"/>
          <w:b/>
          <w:bCs/>
          <w:sz w:val="24"/>
          <w:szCs w:val="24"/>
          <w:lang w:val="ru"/>
        </w:rPr>
        <w:t>ІНФОРМАЦІЯ ПРО ВИКЛАДАЧА</w:t>
      </w:r>
    </w:p>
    <w:tbl>
      <w:tblPr>
        <w:tblStyle w:val="4"/>
        <w:tblW w:w="0" w:type="auto"/>
        <w:tblInd w:w="0" w:type="dxa"/>
        <w:tblLayout w:type="fixed"/>
        <w:tblCellMar>
          <w:top w:w="0" w:type="dxa"/>
          <w:left w:w="108" w:type="dxa"/>
          <w:bottom w:w="0" w:type="dxa"/>
          <w:right w:w="108" w:type="dxa"/>
        </w:tblCellMar>
      </w:tblPr>
      <w:tblGrid>
        <w:gridCol w:w="2911"/>
        <w:gridCol w:w="6104"/>
      </w:tblGrid>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Прізвище, ім'я, по батькові</w:t>
            </w:r>
          </w:p>
        </w:tc>
        <w:tc>
          <w:tcPr>
            <w:tcW w:w="6104"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Дяків Христина Юріївна</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Науковий ступінь</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доктор філологічних наук</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Вчене звання</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Доцент</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 xml:space="preserve">Посада </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lang w:val="ru"/>
              </w:rPr>
              <w:t>д</w:t>
            </w:r>
            <w:r>
              <w:rPr>
                <w:rFonts w:ascii="Times New Roman" w:hAnsi="Times New Roman" w:eastAsia="Times New Roman" w:cs="Times New Roman"/>
                <w:sz w:val="24"/>
                <w:szCs w:val="24"/>
              </w:rPr>
              <w:t>оцент кафедри міжкультурної комунікації та перекладу Львівського національного університет імені І. Франка</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Місце роботи</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Електронна адреса</w:t>
            </w:r>
          </w:p>
        </w:tc>
        <w:tc>
          <w:tcPr>
            <w:tcW w:w="6104" w:type="dxa"/>
            <w:tcBorders>
              <w:top w:val="single" w:color="auto" w:sz="8" w:space="0"/>
              <w:left w:val="single" w:color="auto" w:sz="8" w:space="0"/>
              <w:bottom w:val="single" w:color="auto" w:sz="8" w:space="0"/>
              <w:right w:val="single" w:color="auto" w:sz="8" w:space="0"/>
            </w:tcBorders>
            <w:vAlign w:val="top"/>
          </w:tcPr>
          <w:p>
            <w:r>
              <w:fldChar w:fldCharType="begin"/>
            </w:r>
            <w:r>
              <w:instrText xml:space="preserve"> HYPERLINK "mailto:khrystyna.dyakiv@lnu.edu.ua" \h </w:instrText>
            </w:r>
            <w:r>
              <w:fldChar w:fldCharType="separate"/>
            </w:r>
            <w:r>
              <w:rPr>
                <w:rStyle w:val="3"/>
                <w:rFonts w:ascii="Times New Roman" w:hAnsi="Times New Roman" w:eastAsia="Times New Roman" w:cs="Times New Roman"/>
                <w:sz w:val="24"/>
                <w:szCs w:val="24"/>
                <w:lang w:val="de"/>
              </w:rPr>
              <w:t>khrystyna</w:t>
            </w:r>
            <w:r>
              <w:rPr>
                <w:rStyle w:val="3"/>
                <w:rFonts w:ascii="Times New Roman" w:hAnsi="Times New Roman" w:eastAsia="Times New Roman" w:cs="Times New Roman"/>
                <w:sz w:val="24"/>
                <w:szCs w:val="24"/>
                <w:lang w:val="ru"/>
              </w:rPr>
              <w:t>.</w:t>
            </w:r>
            <w:r>
              <w:rPr>
                <w:rStyle w:val="3"/>
                <w:rFonts w:ascii="Times New Roman" w:hAnsi="Times New Roman" w:eastAsia="Times New Roman" w:cs="Times New Roman"/>
                <w:sz w:val="24"/>
                <w:szCs w:val="24"/>
                <w:lang w:val="de"/>
              </w:rPr>
              <w:t>dyakiv</w:t>
            </w:r>
            <w:r>
              <w:rPr>
                <w:rStyle w:val="3"/>
                <w:rFonts w:ascii="Times New Roman" w:hAnsi="Times New Roman" w:eastAsia="Times New Roman" w:cs="Times New Roman"/>
                <w:sz w:val="24"/>
                <w:szCs w:val="24"/>
                <w:lang w:val="ru"/>
              </w:rPr>
              <w:t>@lnu.edu.ua</w:t>
            </w:r>
            <w:r>
              <w:rPr>
                <w:rStyle w:val="3"/>
                <w:rFonts w:ascii="Times New Roman" w:hAnsi="Times New Roman" w:eastAsia="Times New Roman" w:cs="Times New Roman"/>
                <w:sz w:val="24"/>
                <w:szCs w:val="24"/>
                <w:lang w:val="ru"/>
              </w:rPr>
              <w:fldChar w:fldCharType="end"/>
            </w:r>
            <w:r>
              <w:rPr>
                <w:rFonts w:ascii="Times New Roman" w:hAnsi="Times New Roman" w:eastAsia="Times New Roman" w:cs="Times New Roman"/>
                <w:sz w:val="24"/>
                <w:szCs w:val="24"/>
                <w:lang w:val="ru"/>
              </w:rPr>
              <w:t xml:space="preserve"> </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Сторінка викладача</w:t>
            </w:r>
          </w:p>
        </w:tc>
        <w:tc>
          <w:tcPr>
            <w:tcW w:w="6104" w:type="dxa"/>
            <w:tcBorders>
              <w:top w:val="single" w:color="auto" w:sz="8" w:space="0"/>
              <w:left w:val="single" w:color="auto" w:sz="8" w:space="0"/>
              <w:bottom w:val="single" w:color="auto" w:sz="8" w:space="0"/>
              <w:right w:val="single" w:color="auto" w:sz="8" w:space="0"/>
            </w:tcBorders>
            <w:vAlign w:val="top"/>
          </w:tcPr>
          <w:p>
            <w:r>
              <w:fldChar w:fldCharType="begin"/>
            </w:r>
            <w:r>
              <w:instrText xml:space="preserve"> HYPERLINK "https://lingua.lnu.edu.ua/employee/dyakiv-hrystyna-yurijivna" \h </w:instrText>
            </w:r>
            <w:r>
              <w:fldChar w:fldCharType="separate"/>
            </w:r>
            <w:r>
              <w:rPr>
                <w:rStyle w:val="3"/>
                <w:rFonts w:ascii="Times New Roman" w:hAnsi="Times New Roman" w:eastAsia="Times New Roman" w:cs="Times New Roman"/>
                <w:sz w:val="24"/>
                <w:szCs w:val="24"/>
              </w:rPr>
              <w:t>https://lingua.lnu.edu.ua/employee/dyakiv-hrystyna-yurijivna</w:t>
            </w:r>
            <w:r>
              <w:rPr>
                <w:rStyle w:val="3"/>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tc>
      </w:tr>
    </w:tbl>
    <w:p>
      <w:pPr>
        <w:spacing w:line="276" w:lineRule="auto"/>
        <w:jc w:val="center"/>
      </w:pPr>
      <w:r>
        <w:rPr>
          <w:rFonts w:ascii="Times New Roman" w:hAnsi="Times New Roman" w:eastAsia="Times New Roman" w:cs="Times New Roman"/>
          <w:b/>
          <w:bCs/>
          <w:sz w:val="24"/>
          <w:szCs w:val="24"/>
          <w:lang w:val="uk-UA"/>
        </w:rPr>
        <w:t xml:space="preserve"> </w:t>
      </w:r>
    </w:p>
    <w:p>
      <w:pPr>
        <w:spacing w:line="276" w:lineRule="auto"/>
        <w:jc w:val="center"/>
      </w:pPr>
      <w:r>
        <w:rPr>
          <w:rFonts w:ascii="Times New Roman" w:hAnsi="Times New Roman" w:eastAsia="Times New Roman" w:cs="Times New Roman"/>
          <w:b/>
          <w:bCs/>
          <w:sz w:val="24"/>
          <w:szCs w:val="24"/>
          <w:lang w:val="ru"/>
        </w:rPr>
        <w:t xml:space="preserve">КОНСУЛЬТАЦІЇ </w:t>
      </w:r>
    </w:p>
    <w:tbl>
      <w:tblPr>
        <w:tblStyle w:val="4"/>
        <w:tblW w:w="0" w:type="auto"/>
        <w:tblInd w:w="0" w:type="dxa"/>
        <w:tblLayout w:type="fixed"/>
        <w:tblCellMar>
          <w:top w:w="0" w:type="dxa"/>
          <w:left w:w="108" w:type="dxa"/>
          <w:bottom w:w="0" w:type="dxa"/>
          <w:right w:w="108" w:type="dxa"/>
        </w:tblCellMar>
      </w:tblPr>
      <w:tblGrid>
        <w:gridCol w:w="2911"/>
        <w:gridCol w:w="6104"/>
      </w:tblGrid>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Час</w:t>
            </w:r>
          </w:p>
        </w:tc>
        <w:tc>
          <w:tcPr>
            <w:tcW w:w="6104"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lang w:val="ru"/>
              </w:rPr>
              <w:t>Щоп</w:t>
            </w:r>
            <w:r>
              <w:rPr>
                <w:rFonts w:ascii="Times New Roman" w:hAnsi="Times New Roman" w:eastAsia="Times New Roman" w:cs="Times New Roman"/>
                <w:sz w:val="24"/>
                <w:szCs w:val="24"/>
              </w:rPr>
              <w:t>онеділка</w:t>
            </w:r>
            <w:r>
              <w:rPr>
                <w:rFonts w:ascii="Times New Roman" w:hAnsi="Times New Roman" w:eastAsia="Times New Roman" w:cs="Times New Roman"/>
                <w:sz w:val="24"/>
                <w:szCs w:val="24"/>
                <w:lang w:val="ru"/>
              </w:rPr>
              <w:t xml:space="preserve">, 15.05-16.25 </w:t>
            </w:r>
          </w:p>
        </w:tc>
      </w:tr>
      <w:tr>
        <w:tc>
          <w:tcPr>
            <w:tcW w:w="291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lang w:val="ru"/>
              </w:rPr>
              <w:t>Місце</w:t>
            </w:r>
          </w:p>
        </w:tc>
        <w:tc>
          <w:tcPr>
            <w:tcW w:w="610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spacing w:line="276" w:lineRule="auto"/>
        <w:jc w:val="center"/>
      </w:pPr>
      <w:r>
        <w:rPr>
          <w:rFonts w:ascii="Times New Roman" w:hAnsi="Times New Roman" w:eastAsia="Times New Roman" w:cs="Times New Roman"/>
          <w:b/>
          <w:bCs/>
          <w:sz w:val="24"/>
          <w:szCs w:val="24"/>
          <w:lang w:val="ru"/>
        </w:rPr>
        <w:t xml:space="preserve"> </w:t>
      </w:r>
    </w:p>
    <w:p>
      <w:pPr>
        <w:spacing w:line="276" w:lineRule="auto"/>
        <w:jc w:val="center"/>
      </w:pPr>
      <w:r>
        <w:rPr>
          <w:rFonts w:ascii="Times New Roman" w:hAnsi="Times New Roman" w:eastAsia="Times New Roman" w:cs="Times New Roman"/>
          <w:b/>
          <w:bCs/>
          <w:sz w:val="24"/>
          <w:szCs w:val="24"/>
          <w:lang w:val="ru"/>
        </w:rPr>
        <w:t>ІНФОРМАЦІЯ ПРО КУРС</w:t>
      </w:r>
    </w:p>
    <w:tbl>
      <w:tblPr>
        <w:tblStyle w:val="4"/>
        <w:tblW w:w="0" w:type="auto"/>
        <w:tblInd w:w="0" w:type="dxa"/>
        <w:tblLayout w:type="fixed"/>
        <w:tblCellMar>
          <w:top w:w="0" w:type="dxa"/>
          <w:left w:w="108" w:type="dxa"/>
          <w:bottom w:w="0" w:type="dxa"/>
          <w:right w:w="108" w:type="dxa"/>
        </w:tblCellMar>
      </w:tblPr>
      <w:tblGrid>
        <w:gridCol w:w="2201"/>
        <w:gridCol w:w="6814"/>
      </w:tblGrid>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lang w:val="ru"/>
              </w:rPr>
              <w:t>Сторінка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fldChar w:fldCharType="begin"/>
            </w:r>
            <w:r>
              <w:instrText xml:space="preserve"> HYPERLINK "https://lingua.lnu.edu.ua/department/mizhkulturnoji-komunikatsiji-ta-perekladu" \h </w:instrText>
            </w:r>
            <w:r>
              <w:fldChar w:fldCharType="separate"/>
            </w:r>
            <w:r>
              <w:rPr>
                <w:rStyle w:val="3"/>
                <w:rFonts w:ascii="Times New Roman" w:hAnsi="Times New Roman" w:eastAsia="Times New Roman" w:cs="Times New Roman"/>
                <w:sz w:val="24"/>
                <w:szCs w:val="24"/>
              </w:rPr>
              <w:t>https://lingua.lnu.edu.ua/department/mizhkulturnoji-komunikatsiji-ta-perekladu</w:t>
            </w:r>
            <w:r>
              <w:rPr>
                <w:rStyle w:val="3"/>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Коротка анотація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Дисципліна «</w:t>
            </w:r>
            <w:r>
              <w:rPr>
                <w:rFonts w:ascii="Times New Roman" w:hAnsi="Times New Roman" w:eastAsia="Times New Roman" w:cs="Times New Roman"/>
                <w:b/>
                <w:bCs/>
                <w:sz w:val="24"/>
                <w:szCs w:val="24"/>
              </w:rPr>
              <w:t>Переклад конференцій</w:t>
            </w:r>
            <w:r>
              <w:rPr>
                <w:rFonts w:ascii="Times New Roman" w:hAnsi="Times New Roman" w:eastAsia="Times New Roman" w:cs="Times New Roman"/>
                <w:sz w:val="24"/>
                <w:szCs w:val="24"/>
              </w:rPr>
              <w:t>» є вибірковою дисципліною зі спеціальності 035 Філологія для освітньої програми ОС «бакалавр», яка викладається в 8 семестрі в обсязі 3 кредитів (за Європейською Кредитно-Трансферною Системою ECTS).</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Мета та цілі курсу</w:t>
            </w:r>
          </w:p>
        </w:tc>
        <w:tc>
          <w:tcPr>
            <w:tcW w:w="6814" w:type="dxa"/>
            <w:tcBorders>
              <w:top w:val="single" w:color="auto" w:sz="8" w:space="0"/>
              <w:left w:val="single" w:color="auto" w:sz="8" w:space="0"/>
              <w:bottom w:val="single" w:color="auto" w:sz="8" w:space="0"/>
              <w:right w:val="single" w:color="auto" w:sz="8" w:space="0"/>
            </w:tcBorders>
            <w:vAlign w:val="top"/>
          </w:tcPr>
          <w:p>
            <w:pPr>
              <w:spacing w:line="276" w:lineRule="auto"/>
              <w:jc w:val="both"/>
            </w:pPr>
            <w:r>
              <w:rPr>
                <w:rFonts w:ascii="Times New Roman" w:hAnsi="Times New Roman" w:eastAsia="Times New Roman" w:cs="Times New Roman"/>
                <w:b/>
                <w:bCs/>
                <w:i/>
                <w:iCs/>
                <w:sz w:val="24"/>
                <w:szCs w:val="24"/>
              </w:rPr>
              <w:t>Мета</w:t>
            </w:r>
            <w:r>
              <w:rPr>
                <w:rFonts w:ascii="Times New Roman" w:hAnsi="Times New Roman" w:eastAsia="Times New Roman" w:cs="Times New Roman"/>
                <w:sz w:val="24"/>
                <w:szCs w:val="24"/>
              </w:rPr>
              <w:t xml:space="preserve"> курсу – створити практичну базу для формування у студентів вмінь і навичок у галузі практики перекладу з використанням основної іноземної мови, необхідних у майбутній професійній діяльності. Метою дисципліни “</w:t>
            </w:r>
            <w:r>
              <w:rPr>
                <w:rFonts w:ascii="Times New Roman" w:hAnsi="Times New Roman" w:eastAsia="Times New Roman" w:cs="Times New Roman"/>
                <w:b/>
                <w:bCs/>
                <w:sz w:val="24"/>
                <w:szCs w:val="24"/>
              </w:rPr>
              <w:t xml:space="preserve"> Переклад конференцій</w:t>
            </w:r>
            <w:r>
              <w:rPr>
                <w:rFonts w:ascii="Times New Roman" w:hAnsi="Times New Roman" w:eastAsia="Times New Roman" w:cs="Times New Roman"/>
                <w:sz w:val="24"/>
                <w:szCs w:val="24"/>
              </w:rPr>
              <w:t xml:space="preserve">” є вміння </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визначати комунікативно-прагматичні параметри тексту і відповідно до них стратегію перекладу, </w:t>
            </w:r>
            <w:r>
              <w:rPr>
                <w:rFonts w:ascii="Times New Roman" w:hAnsi="Times New Roman" w:eastAsia="Times New Roman" w:cs="Times New Roman"/>
                <w:sz w:val="24"/>
                <w:szCs w:val="24"/>
              </w:rPr>
              <w:t>формування знань про специфіку усного і письмового перекладу,  принципи, методи та прийоми його здійснення на практиці, а також практичне оволодіння ними з метою забезпечення вірного вибору перекладацької стратегії, зумовленої професійними потребами відповідно до комунікативно-прагматичних параметрів тексту та опираючись на основи лінгвопрагматики</w:t>
            </w:r>
          </w:p>
          <w:p>
            <w:pPr>
              <w:jc w:val="both"/>
            </w:pPr>
            <w:r>
              <w:t xml:space="preserve">Основне </w:t>
            </w:r>
            <w:r>
              <w:rPr>
                <w:b/>
                <w:bCs/>
                <w:i/>
                <w:iCs/>
              </w:rPr>
              <w:t>завдання</w:t>
            </w:r>
            <w:r>
              <w:t xml:space="preserve"> курсу – ознайомити студентів  з прагмалінгвістичними чинниками у перекладі конференцій;</w:t>
            </w:r>
          </w:p>
          <w:p>
            <w:pPr>
              <w:jc w:val="both"/>
            </w:pPr>
            <w:r>
              <w:t>висвітлити сутність лінгвопрагматики та її впливу на переклад;</w:t>
            </w:r>
          </w:p>
          <w:p>
            <w:pPr>
              <w:jc w:val="both"/>
            </w:pPr>
            <w:r>
              <w:t>розкрити проблему неперекладності, адекватності і еквівалентності перекладу; ознайомити з ознаками, моделями та моделюванням тексту; висвітлити прагматичні і психолінгвістичні аспекти  перекладу; розкрити проблему перекладу у мовній парі «німецька – українська»; ознайомити зі специфікою роботи перекладача в аспекті міжкультурної комунікації; навчити студентів принципам перекладацької компетенції; навчити студентів перекладацьких стратегій; навчити студентів розрізняти важливу інформацію від другорядної; вказати і опрацювати психолінгвістичні особливості усного перекладу</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Література для вивчення дисципліни</w:t>
            </w:r>
          </w:p>
        </w:tc>
        <w:tc>
          <w:tcPr>
            <w:tcW w:w="6814"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b/>
                <w:bCs/>
                <w:i/>
                <w:iCs/>
                <w:sz w:val="24"/>
                <w:szCs w:val="24"/>
              </w:rPr>
              <w:t>Основна</w:t>
            </w:r>
          </w:p>
          <w:p>
            <w:pPr>
              <w:jc w:val="center"/>
            </w:pPr>
            <w:r>
              <w:rPr>
                <w:rFonts w:ascii="Times New Roman" w:hAnsi="Times New Roman" w:eastAsia="Times New Roman" w:cs="Times New Roman"/>
                <w:b/>
                <w:bCs/>
                <w:i/>
                <w:iCs/>
                <w:sz w:val="24"/>
                <w:szCs w:val="24"/>
                <w:lang w:val="en-US"/>
              </w:rPr>
              <w:t xml:space="preserve"> </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Stolze, Radegundis: Übersetzungstheorien : eine Einführung / Radegundis Stolze. - 7., überarbeitete und erweiterte Auflage. - Tübingen : Narr Francke Attempto, 2018. - 329 Seiten : Diagramme, 1 Porträt . - (Narr Studienbücher)</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Stolze, Radegundis: Übersetzungstheorien / Radegundis Stolze. - Tübingen : Narr\Francke\Attempto, 2016. - 93 Seiten : 1 Porträt . - (narr STARTER)</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Арутюнова Н.Д. Прагматика // Языкознание: Большой энциклопедиче¬ский словарь. М., 1998. С. 389-390.</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Арутюнова Н.Д. Падучева Е.В. Истоки, проблемы и категории прагматики // Новое в зарубежной лингвистике. Вып. 16: Лингвистическая прагмати-ка. М., 1985. С. 3-47.</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Богданов В.В. Лингвистическая прагматика и её прикладные аспекты // Прикладное языкознание. СПб, 1996. С. 268-275.</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Демьянков В.З. "Теория речевых актов" в контексте современной лингви-стической литературы (обзор направлений) // Новое в зарубежной лингви¬стике. Вып. 17: Теория речевых актов. М., 1986. С. 223-235.</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Демьянков В.З. Доминирующие лингвистические теории в конце XX века // Язык и наука конца 20 века. М., 1995.</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Звегинцев В.А. Язык и лингвистическая теория. М., 1973.</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Звегинцев В.А. Предложение и его отношение к языку и речи. М., 1976.</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Звегинцев В.А. Прагматика, семантика и естественный язык // Звегинцев, В.А. Мысли о лингвистике. М., 1996.</w:t>
            </w:r>
          </w:p>
          <w:p>
            <w:pPr>
              <w:pStyle w:val="6"/>
              <w:numPr>
                <w:ilvl w:val="0"/>
                <w:numId w:val="1"/>
              </w:numPr>
              <w:spacing w:line="276"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Кибрик А.Е. Лингвистические постулаты // Кибрик, А.Е. Очерки по об-щим и прикладным вопросам языкознания: Универсальное, типовое и специфичное в языке. 3-е изд., стереотипи. М., 2002.</w:t>
            </w:r>
          </w:p>
          <w:p>
            <w:r>
              <w:rPr>
                <w:rFonts w:ascii="Times New Roman" w:hAnsi="Times New Roman" w:eastAsia="Times New Roman" w:cs="Times New Roman"/>
                <w:sz w:val="24"/>
                <w:szCs w:val="24"/>
              </w:rPr>
              <w:t xml:space="preserve"> </w:t>
            </w:r>
          </w:p>
          <w:p>
            <w:pPr>
              <w:jc w:val="center"/>
            </w:pPr>
            <w:r>
              <w:rPr>
                <w:rFonts w:ascii="Times New Roman" w:hAnsi="Times New Roman" w:eastAsia="Times New Roman" w:cs="Times New Roman"/>
                <w:b/>
                <w:bCs/>
                <w:i/>
                <w:iCs/>
                <w:sz w:val="24"/>
                <w:szCs w:val="24"/>
              </w:rPr>
              <w:t>Додаткова</w:t>
            </w:r>
          </w:p>
          <w:p>
            <w:r>
              <w:t xml:space="preserve">1. Миньяр-Белоручев Р. К. Теория и методы перевода. — М.: Московский Лицей, 1996. — 207 с </w:t>
            </w:r>
          </w:p>
          <w:p>
            <w:r>
              <w:t xml:space="preserve">2. Алексеева И.С. Введение в переводоведение. Учеб. пособие для студ. филол. и лингв фак. высш. учеб. заведений. - СПб.: Филологический факультет СПбГУ; М.: Академия, 2004. — 352 с. </w:t>
            </w:r>
          </w:p>
          <w:p>
            <w:r>
              <w:t xml:space="preserve">3. Бархударов Л.С. Язык и перевод (Вопросы общей и частной теории перевода). – М.: «Междунар. отношения», 1975 г. - 240 с. </w:t>
            </w:r>
          </w:p>
          <w:p>
            <w:r>
              <w:t xml:space="preserve">4. Виноградов В.С. Введение в переводоведение (общие и лексические вопросы). – М.: Издательство института общего среднего образования РАО, 2001. — 224 с. </w:t>
            </w:r>
          </w:p>
          <w:p>
            <w:r>
              <w:t xml:space="preserve">5. Гарбовский Н.К. Теория перевода. Учебник. - М.: Изд-во Моск. ун-та, 2004. - 544 с. </w:t>
            </w:r>
          </w:p>
          <w:p>
            <w:r>
              <w:t xml:space="preserve">6. Комиссаров В.Н. Теория перевода (лингвистические аспекты). – М.: Высшая школа, 1990. — 253 с. </w:t>
            </w:r>
          </w:p>
          <w:p>
            <w:r>
              <w:t xml:space="preserve">7. Федоров А.В. Основы общей теории перевода (лингвистические проблемы). Для институтов и факультетов иностр. языков. Учеб. пособие. — 5-е изд. — СПб.: Филологический факультет СПбГУ; М.: ООО «Издательский Дом «ФИЛОЛОГИЯ ТРИ», 2002. - 416 с. </w:t>
            </w:r>
          </w:p>
          <w:p>
            <w:pPr>
              <w:spacing w:line="276" w:lineRule="auto"/>
            </w:pPr>
            <w:r>
              <w:rPr>
                <w:rFonts w:ascii="Times New Roman" w:hAnsi="Times New Roman" w:eastAsia="Times New Roman" w:cs="Times New Roman"/>
                <w:sz w:val="24"/>
                <w:szCs w:val="24"/>
              </w:rPr>
              <w:t>8. Кифер Ференц. О роли прагматики в лингвистическом описании // Но¬вое в зарубежной лингвистике. Вып. 16: Лингвистическая прагматика. М., 1985. С. 333-348.</w:t>
            </w:r>
          </w:p>
          <w:p>
            <w:pPr>
              <w:spacing w:line="276" w:lineRule="auto"/>
            </w:pPr>
            <w:r>
              <w:rPr>
                <w:rFonts w:ascii="Times New Roman" w:hAnsi="Times New Roman" w:eastAsia="Times New Roman" w:cs="Times New Roman"/>
                <w:sz w:val="24"/>
                <w:szCs w:val="24"/>
              </w:rPr>
              <w:t>9. Кобозева ИМ. "Теория речевых актов" как один из вариантов теории ре-чевой деятельности // Новое в зарубежной лингвистике. Вып. 17: Теория речевых актов. М., 1986. С. 7-21.</w:t>
            </w:r>
          </w:p>
          <w:p>
            <w:pPr>
              <w:spacing w:line="276" w:lineRule="auto"/>
            </w:pPr>
            <w:r>
              <w:rPr>
                <w:rFonts w:ascii="Times New Roman" w:hAnsi="Times New Roman" w:eastAsia="Times New Roman" w:cs="Times New Roman"/>
                <w:sz w:val="24"/>
                <w:szCs w:val="24"/>
              </w:rPr>
              <w:t>10. Кронгауз М.А. Семантика. М., 2001.</w:t>
            </w:r>
          </w:p>
          <w:p>
            <w:pPr>
              <w:spacing w:line="276" w:lineRule="auto"/>
            </w:pPr>
            <w:r>
              <w:rPr>
                <w:rFonts w:ascii="Times New Roman" w:hAnsi="Times New Roman" w:eastAsia="Times New Roman" w:cs="Times New Roman"/>
                <w:sz w:val="24"/>
                <w:szCs w:val="24"/>
              </w:rPr>
              <w:t>11.Лакофф, Джордж. Прагматика в естественной логике // Новое в зару-бежной лингвистике. Вып. 16: Лингвистическая прагматика. М., 1985. С.439-470.</w:t>
            </w:r>
          </w:p>
          <w:p>
            <w:pPr>
              <w:spacing w:line="276" w:lineRule="auto"/>
            </w:pPr>
            <w:r>
              <w:rPr>
                <w:rFonts w:ascii="Times New Roman" w:hAnsi="Times New Roman" w:eastAsia="Times New Roman" w:cs="Times New Roman"/>
                <w:sz w:val="24"/>
                <w:szCs w:val="24"/>
              </w:rPr>
              <w:t>12.Петров ВВ. Философия, семантика, прагматика // Новое в зарубежной лингвистике. Вып. 16: Лингвистическая прагматика. М., 1985. С. 471— 476.</w:t>
            </w:r>
          </w:p>
          <w:p>
            <w:pPr>
              <w:spacing w:line="276" w:lineRule="auto"/>
            </w:pPr>
            <w:r>
              <w:rPr>
                <w:rFonts w:ascii="Times New Roman" w:hAnsi="Times New Roman" w:eastAsia="Times New Roman" w:cs="Times New Roman"/>
                <w:sz w:val="24"/>
                <w:szCs w:val="24"/>
              </w:rPr>
              <w:t>13.Почепцов ГГ. О месте прагматического элемента в лингвистическом опи-сании // Прагматические и семантические аспекты синтаксиса. Калинин, 1985. С. 12-18.</w:t>
            </w:r>
          </w:p>
          <w:p>
            <w:pPr>
              <w:spacing w:line="276" w:lineRule="auto"/>
            </w:pPr>
            <w:r>
              <w:rPr>
                <w:rFonts w:ascii="Times New Roman" w:hAnsi="Times New Roman" w:eastAsia="Times New Roman" w:cs="Times New Roman"/>
                <w:sz w:val="24"/>
                <w:szCs w:val="24"/>
              </w:rPr>
              <w:t>14. Рыжова Л.П. Истоки прагматической парадигмы во французском языкоз¬нании. Тверь, 2004.</w:t>
            </w:r>
          </w:p>
          <w:p>
            <w:pPr>
              <w:spacing w:line="276" w:lineRule="auto"/>
            </w:pPr>
            <w:r>
              <w:rPr>
                <w:rFonts w:ascii="Times New Roman" w:hAnsi="Times New Roman" w:eastAsia="Times New Roman" w:cs="Times New Roman"/>
                <w:sz w:val="24"/>
                <w:szCs w:val="24"/>
              </w:rPr>
              <w:t>15. Сёрл Дж.Р. Введение // Философия языка / Ред. - сост. Дж.Р. Сёрл. М., 2004.</w:t>
            </w:r>
          </w:p>
          <w:p>
            <w:pPr>
              <w:spacing w:line="276" w:lineRule="auto"/>
            </w:pPr>
            <w:r>
              <w:rPr>
                <w:rFonts w:ascii="Times New Roman" w:hAnsi="Times New Roman" w:eastAsia="Times New Roman" w:cs="Times New Roman"/>
                <w:sz w:val="24"/>
                <w:szCs w:val="24"/>
              </w:rPr>
              <w:t>16. Серль Дж. Что такое речевой акт? / Серль Дж. // Новое в зарубежной лингвистике. – М. : Прогресс, 1986. – Вып. 17  [Теория речевых актов].             – С. 151 – 169.</w:t>
            </w:r>
          </w:p>
          <w:p>
            <w:pPr>
              <w:spacing w:line="276" w:lineRule="auto"/>
            </w:pPr>
            <w:r>
              <w:rPr>
                <w:rFonts w:ascii="Times New Roman" w:hAnsi="Times New Roman" w:eastAsia="Times New Roman" w:cs="Times New Roman"/>
                <w:sz w:val="24"/>
                <w:szCs w:val="24"/>
              </w:rPr>
              <w:t xml:space="preserve">17. Серль Дж. Косвенные речевые акты  // Философия языка ; Ред.-сост.  Дж. Р. Сёрл ; Пер с англ. – М. : Эдиториал УРСС, 2004. – С. 56 – 74.  </w:t>
            </w:r>
          </w:p>
          <w:p>
            <w:pPr>
              <w:spacing w:line="276" w:lineRule="auto"/>
            </w:pPr>
            <w:r>
              <w:rPr>
                <w:rFonts w:ascii="Times New Roman" w:hAnsi="Times New Roman" w:eastAsia="Times New Roman" w:cs="Times New Roman"/>
                <w:sz w:val="24"/>
                <w:szCs w:val="24"/>
              </w:rPr>
              <w:t xml:space="preserve">18. Серль Дж. Основные понятия исчисления речевых актов / Дж. Серль,                 Д. Вандервекен // Новое в зарубежной лингвистике. – М. : Прогресс, 1986.  – Вып. 17  [Теория речевых актов]. – С. 242 – 263.             </w:t>
            </w:r>
          </w:p>
          <w:p>
            <w:pPr>
              <w:spacing w:line="276" w:lineRule="auto"/>
            </w:pPr>
            <w:r>
              <w:rPr>
                <w:rFonts w:ascii="Times New Roman" w:hAnsi="Times New Roman" w:eastAsia="Times New Roman" w:cs="Times New Roman"/>
                <w:sz w:val="24"/>
                <w:szCs w:val="24"/>
              </w:rPr>
              <w:t>19. Остин Дж. Л. Слово как действие / Остин Дж. Л. // Новое в зарубежной лингвистике. – М. : Прогресс, 1986.  – Вып. 17 [Теория речевых актов].            – С. 22 – 131.</w:t>
            </w:r>
          </w:p>
          <w:p>
            <w:pPr>
              <w:spacing w:line="276" w:lineRule="auto"/>
            </w:pPr>
            <w:r>
              <w:rPr>
                <w:rFonts w:ascii="Times New Roman" w:hAnsi="Times New Roman" w:eastAsia="Times New Roman" w:cs="Times New Roman"/>
                <w:sz w:val="24"/>
                <w:szCs w:val="24"/>
              </w:rPr>
              <w:t>20. Столнейкер Роберт К. Прагматика // Новое в зарубежной лингвистике. Вып. 16: Лингвистическая прагматика. М., 1985. С.419-438.</w:t>
            </w:r>
          </w:p>
          <w:p>
            <w:pPr>
              <w:spacing w:line="276" w:lineRule="auto"/>
            </w:pPr>
            <w:r>
              <w:rPr>
                <w:rFonts w:ascii="Times New Roman" w:hAnsi="Times New Roman" w:eastAsia="Times New Roman" w:cs="Times New Roman"/>
                <w:sz w:val="24"/>
                <w:szCs w:val="24"/>
              </w:rPr>
              <w:t>21.Сусов H.H. Предложение как лингвосемиотический феномен // Сб. науч. тр. МГПИИЯ. Вып. 112. М., 1977. С. 97-108.</w:t>
            </w:r>
          </w:p>
          <w:p>
            <w:pPr>
              <w:spacing w:line="276" w:lineRule="auto"/>
            </w:pPr>
            <w:r>
              <w:rPr>
                <w:rFonts w:ascii="Times New Roman" w:hAnsi="Times New Roman" w:eastAsia="Times New Roman" w:cs="Times New Roman"/>
                <w:sz w:val="24"/>
                <w:szCs w:val="24"/>
              </w:rPr>
              <w:t>22.Сусов H.H. Семантические функции основных лингвосемиотических объ-ектов // Предложение и текст в семантическом аспекте. Калинин, 1978. С. 122-138.</w:t>
            </w:r>
          </w:p>
          <w:p>
            <w:pPr>
              <w:spacing w:line="276" w:lineRule="auto"/>
            </w:pPr>
            <w:r>
              <w:rPr>
                <w:rFonts w:ascii="Times New Roman" w:hAnsi="Times New Roman" w:eastAsia="Times New Roman" w:cs="Times New Roman"/>
                <w:sz w:val="24"/>
                <w:szCs w:val="24"/>
              </w:rPr>
              <w:t>23.Сусов И.П. Семантика и прагматика предложения. Калинин, 1980.</w:t>
            </w:r>
          </w:p>
          <w:p>
            <w:pPr>
              <w:spacing w:line="276" w:lineRule="auto"/>
            </w:pPr>
            <w:r>
              <w:rPr>
                <w:rFonts w:ascii="Times New Roman" w:hAnsi="Times New Roman" w:eastAsia="Times New Roman" w:cs="Times New Roman"/>
                <w:sz w:val="24"/>
                <w:szCs w:val="24"/>
              </w:rPr>
              <w:t>24.Сусов И.П. К предмету прагмалингвистики // Содержательные аспекты предложения и текста. Калинин, 1983. С. 3-15.</w:t>
            </w:r>
          </w:p>
          <w:p>
            <w:pPr>
              <w:spacing w:line="276" w:lineRule="auto"/>
            </w:pPr>
            <w:r>
              <w:rPr>
                <w:rFonts w:ascii="Times New Roman" w:hAnsi="Times New Roman" w:eastAsia="Times New Roman" w:cs="Times New Roman"/>
                <w:sz w:val="24"/>
                <w:szCs w:val="24"/>
              </w:rPr>
              <w:t>25.Сусов И.П. Коммуникативно-прагматическая лингвистика и ее единицы // Прагматика и семантика синтаксических единиц. Калинин, 1984. С. 3—12.</w:t>
            </w:r>
          </w:p>
          <w:p>
            <w:pPr>
              <w:spacing w:line="276" w:lineRule="auto"/>
            </w:pPr>
            <w:r>
              <w:rPr>
                <w:rFonts w:ascii="Times New Roman" w:hAnsi="Times New Roman" w:eastAsia="Times New Roman" w:cs="Times New Roman"/>
                <w:sz w:val="24"/>
                <w:szCs w:val="24"/>
              </w:rPr>
              <w:t>26.Сусов И.П. Проблемы языкового общения, его единиц и правил // Все-союзная научная конференция "Коммуникативные единицы языка". М., 1984. С. 113-116.</w:t>
            </w:r>
          </w:p>
          <w:p>
            <w:pPr>
              <w:spacing w:line="276" w:lineRule="auto"/>
            </w:pPr>
            <w:r>
              <w:rPr>
                <w:rFonts w:ascii="Times New Roman" w:hAnsi="Times New Roman" w:eastAsia="Times New Roman" w:cs="Times New Roman"/>
                <w:sz w:val="24"/>
                <w:szCs w:val="24"/>
              </w:rPr>
              <w:t>27.Сусов И.П. История языкознания. М, 2006.</w:t>
            </w:r>
          </w:p>
          <w:p>
            <w:pPr>
              <w:spacing w:line="276" w:lineRule="auto"/>
            </w:pPr>
            <w:r>
              <w:rPr>
                <w:rFonts w:ascii="Times New Roman" w:hAnsi="Times New Roman" w:eastAsia="Times New Roman" w:cs="Times New Roman"/>
                <w:sz w:val="24"/>
                <w:szCs w:val="24"/>
              </w:rPr>
              <w:t>28.Якобсон Р. Избранные работы. М</w:t>
            </w:r>
            <w:r>
              <w:rPr>
                <w:rFonts w:ascii="Times New Roman" w:hAnsi="Times New Roman" w:eastAsia="Times New Roman" w:cs="Times New Roman"/>
                <w:sz w:val="24"/>
                <w:szCs w:val="24"/>
                <w:lang w:val="en-US"/>
              </w:rPr>
              <w:t>., 1985.</w:t>
            </w:r>
          </w:p>
          <w:p>
            <w:pPr>
              <w:spacing w:line="276" w:lineRule="auto"/>
            </w:pPr>
            <w:r>
              <w:rPr>
                <w:rFonts w:ascii="Times New Roman" w:hAnsi="Times New Roman" w:eastAsia="Times New Roman" w:cs="Times New Roman"/>
                <w:sz w:val="24"/>
                <w:szCs w:val="24"/>
                <w:lang w:val="en-US"/>
              </w:rPr>
              <w:t>29.Carlson Lauri. Dialogue Games: An Approach to Discourse Analysis. Dordrecht etc., 1985.</w:t>
            </w:r>
          </w:p>
          <w:p>
            <w:pPr>
              <w:spacing w:line="276" w:lineRule="auto"/>
            </w:pPr>
            <w:r>
              <w:rPr>
                <w:rFonts w:ascii="Times New Roman" w:hAnsi="Times New Roman" w:eastAsia="Times New Roman" w:cs="Times New Roman"/>
                <w:sz w:val="24"/>
                <w:szCs w:val="24"/>
                <w:lang w:val="en-US"/>
              </w:rPr>
              <w:t xml:space="preserve">30.Grice Herbert Paul. Meaning // Semantics: An Interdisciplinary Reader in Philosophy, Linguistics and Psychology / Ed. by Danny D. Steinberg and Leon A. Jakobovits. </w:t>
            </w:r>
            <w:r>
              <w:rPr>
                <w:rFonts w:ascii="Times New Roman" w:hAnsi="Times New Roman" w:eastAsia="Times New Roman" w:cs="Times New Roman"/>
                <w:sz w:val="24"/>
                <w:szCs w:val="24"/>
              </w:rPr>
              <w:t>Cambridge, 1975.</w:t>
            </w:r>
          </w:p>
          <w:p>
            <w:pPr>
              <w:jc w:val="center"/>
            </w:pPr>
            <w:r>
              <w:rPr>
                <w:rFonts w:ascii="Times New Roman" w:hAnsi="Times New Roman" w:eastAsia="Times New Roman" w:cs="Times New Roman"/>
                <w:b/>
                <w:bCs/>
                <w:i/>
                <w:iCs/>
                <w:sz w:val="24"/>
                <w:szCs w:val="24"/>
              </w:rPr>
              <w:t>Інтернет-ресурси</w:t>
            </w:r>
          </w:p>
          <w:p>
            <w:pPr>
              <w:jc w:val="center"/>
            </w:pPr>
            <w:r>
              <w:rPr>
                <w:rFonts w:ascii="Times New Roman" w:hAnsi="Times New Roman" w:eastAsia="Times New Roman" w:cs="Times New Roman"/>
                <w:b/>
                <w:bCs/>
                <w:i/>
                <w:iCs/>
                <w:sz w:val="24"/>
                <w:szCs w:val="24"/>
              </w:rPr>
              <w:t xml:space="preserve"> </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www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fask</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uni</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mainz</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de</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user</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kupsch</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web</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html</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www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fask</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uni</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mainz</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de</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user</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kupsch</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biblio</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htlm</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www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uwasa</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fi</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comm</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termino</w:t>
            </w:r>
            <w:r>
              <w:rPr>
                <w:rFonts w:ascii="Times New Roman" w:hAnsi="Times New Roman" w:eastAsia="Times New Roman" w:cs="Times New Roman"/>
                <w:sz w:val="24"/>
                <w:szCs w:val="24"/>
              </w:rPr>
              <w:t>/</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www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logos.it</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accurapid.com/journal/links.htm</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europa.eu.int/comm./translation/de</w:t>
            </w:r>
          </w:p>
          <w:p>
            <w:pPr>
              <w:pStyle w:val="6"/>
              <w:numPr>
                <w:ilvl w:val="0"/>
                <w:numId w:val="2"/>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en-US"/>
              </w:rPr>
              <w:t>http</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en-US"/>
              </w:rPr>
              <w:t>rzaix</w:t>
            </w:r>
            <w:r>
              <w:rPr>
                <w:rFonts w:ascii="Times New Roman" w:hAnsi="Times New Roman" w:eastAsia="Times New Roman" w:cs="Times New Roman"/>
                <w:sz w:val="24"/>
                <w:szCs w:val="24"/>
              </w:rPr>
              <w:t>340.</w:t>
            </w:r>
            <w:r>
              <w:rPr>
                <w:rFonts w:ascii="Times New Roman" w:hAnsi="Times New Roman" w:eastAsia="Times New Roman" w:cs="Times New Roman"/>
                <w:sz w:val="24"/>
                <w:szCs w:val="24"/>
                <w:lang w:val="en-US"/>
              </w:rPr>
              <w:t>rz</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uni</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leipzig</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de</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xlatio</w:t>
            </w:r>
            <w:r>
              <w:rPr>
                <w:rFonts w:ascii="Times New Roman" w:hAnsi="Times New Roman" w:eastAsia="Times New Roman" w:cs="Times New Roman"/>
                <w:sz w:val="24"/>
                <w:szCs w:val="24"/>
              </w:rPr>
              <w:t>/</w:t>
            </w:r>
          </w:p>
          <w:p>
            <w:pPr>
              <w:jc w:val="both"/>
            </w:pPr>
            <w:r>
              <w:rPr>
                <w:rFonts w:ascii="Times New Roman" w:hAnsi="Times New Roman" w:eastAsia="Times New Roman" w:cs="Times New Roman"/>
                <w:sz w:val="24"/>
                <w:szCs w:val="24"/>
              </w:rPr>
              <w:t xml:space="preserve"> </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Тривалість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Один семестр (8), 90 год.</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Обсяг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Загальна кількість годин – 90</w:t>
            </w:r>
            <w:r>
              <w:rPr>
                <w:rFonts w:ascii="Times New Roman" w:hAnsi="Times New Roman" w:eastAsia="Times New Roman" w:cs="Times New Roman"/>
                <w:sz w:val="24"/>
                <w:szCs w:val="24"/>
                <w:lang w:val="ru"/>
              </w:rPr>
              <w:t>.</w:t>
            </w:r>
          </w:p>
          <w:p>
            <w:pPr>
              <w:jc w:val="both"/>
            </w:pPr>
            <w:r>
              <w:rPr>
                <w:rFonts w:ascii="Times New Roman" w:hAnsi="Times New Roman" w:eastAsia="Times New Roman" w:cs="Times New Roman"/>
                <w:sz w:val="24"/>
                <w:szCs w:val="24"/>
              </w:rPr>
              <w:t xml:space="preserve">20 годин аудиторних занять, з них </w:t>
            </w:r>
            <w:r>
              <w:rPr>
                <w:rFonts w:ascii="Times New Roman" w:hAnsi="Times New Roman" w:eastAsia="Times New Roman" w:cs="Times New Roman"/>
                <w:sz w:val="24"/>
                <w:szCs w:val="24"/>
                <w:lang w:val="ru"/>
              </w:rPr>
              <w:t>10</w:t>
            </w:r>
            <w:r>
              <w:rPr>
                <w:rFonts w:ascii="Times New Roman" w:hAnsi="Times New Roman" w:eastAsia="Times New Roman" w:cs="Times New Roman"/>
                <w:sz w:val="24"/>
                <w:szCs w:val="24"/>
              </w:rPr>
              <w:t xml:space="preserve"> годин лекцій, </w:t>
            </w:r>
            <w:r>
              <w:rPr>
                <w:rFonts w:ascii="Times New Roman" w:hAnsi="Times New Roman" w:eastAsia="Times New Roman" w:cs="Times New Roman"/>
                <w:sz w:val="24"/>
                <w:szCs w:val="24"/>
                <w:lang w:val="ru"/>
              </w:rPr>
              <w:t>10</w:t>
            </w:r>
            <w:r>
              <w:rPr>
                <w:rFonts w:ascii="Times New Roman" w:hAnsi="Times New Roman" w:eastAsia="Times New Roman" w:cs="Times New Roman"/>
                <w:sz w:val="24"/>
                <w:szCs w:val="24"/>
              </w:rPr>
              <w:t xml:space="preserve"> годин практичних занять. 70 годин самостійної роботи.</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Очікувані результати навчання</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 xml:space="preserve">У результаті вивчення навчальної дисципліни студент буде </w:t>
            </w:r>
            <w:r>
              <w:rPr>
                <w:rFonts w:ascii="Times New Roman" w:hAnsi="Times New Roman" w:eastAsia="Times New Roman" w:cs="Times New Roman"/>
                <w:b/>
                <w:bCs/>
                <w:i/>
                <w:iCs/>
                <w:sz w:val="24"/>
                <w:szCs w:val="24"/>
              </w:rPr>
              <w:t>знати</w:t>
            </w:r>
            <w:r>
              <w:rPr>
                <w:rFonts w:ascii="Times New Roman" w:hAnsi="Times New Roman" w:eastAsia="Times New Roman" w:cs="Times New Roman"/>
                <w:sz w:val="24"/>
                <w:szCs w:val="24"/>
              </w:rPr>
              <w:t>:</w:t>
            </w:r>
          </w:p>
          <w:p>
            <w:pPr>
              <w:pStyle w:val="6"/>
              <w:numPr>
                <w:ilvl w:val="0"/>
                <w:numId w:val="3"/>
              </w:numPr>
              <w:rPr>
                <w:rFonts w:asciiTheme="minorAscii" w:hAnsiTheme="minorAscii" w:eastAsiaTheme="minorAscii" w:cstheme="minorAscii"/>
                <w:sz w:val="24"/>
                <w:szCs w:val="24"/>
              </w:rPr>
            </w:pPr>
            <w:r>
              <w:rPr>
                <w:rFonts w:ascii="Times New Roman" w:hAnsi="Times New Roman" w:eastAsia="Times New Roman" w:cs="Times New Roman"/>
                <w:sz w:val="24"/>
                <w:szCs w:val="24"/>
              </w:rPr>
              <w:t>особливості соціальних ролей і позицій комунікантів,</w:t>
            </w:r>
          </w:p>
          <w:p>
            <w:pPr>
              <w:pStyle w:val="6"/>
              <w:numPr>
                <w:ilvl w:val="0"/>
                <w:numId w:val="3"/>
              </w:numPr>
              <w:rPr>
                <w:rFonts w:asciiTheme="minorAscii" w:hAnsiTheme="minorAscii" w:eastAsiaTheme="minorAscii" w:cstheme="minorAscii"/>
                <w:sz w:val="24"/>
                <w:szCs w:val="24"/>
              </w:rPr>
            </w:pPr>
            <w:r>
              <w:rPr>
                <w:rFonts w:ascii="Times New Roman" w:hAnsi="Times New Roman" w:eastAsia="Times New Roman" w:cs="Times New Roman"/>
                <w:sz w:val="24"/>
                <w:szCs w:val="24"/>
              </w:rPr>
              <w:t>особливості перекладу як комунікативного процесу</w:t>
            </w:r>
          </w:p>
          <w:p>
            <w:pPr>
              <w:pStyle w:val="6"/>
              <w:numPr>
                <w:ilvl w:val="0"/>
                <w:numId w:val="3"/>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особливості німецької української лінгвокультур; </w:t>
            </w:r>
          </w:p>
          <w:p>
            <w:pPr>
              <w:pStyle w:val="6"/>
              <w:numPr>
                <w:ilvl w:val="0"/>
                <w:numId w:val="3"/>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психологічні особливості перекладу; </w:t>
            </w:r>
          </w:p>
          <w:p>
            <w:pPr>
              <w:pStyle w:val="6"/>
              <w:numPr>
                <w:ilvl w:val="0"/>
                <w:numId w:val="3"/>
              </w:numPr>
              <w:rPr>
                <w:rFonts w:asciiTheme="minorAscii" w:hAnsiTheme="minorAscii" w:eastAsiaTheme="minorAscii" w:cstheme="minorAscii"/>
                <w:sz w:val="24"/>
                <w:szCs w:val="24"/>
              </w:rPr>
            </w:pPr>
            <w:r>
              <w:rPr>
                <w:rFonts w:ascii="Times New Roman" w:hAnsi="Times New Roman" w:eastAsia="Times New Roman" w:cs="Times New Roman"/>
                <w:sz w:val="24"/>
                <w:szCs w:val="24"/>
              </w:rPr>
              <w:t>способи відсіювання інформації під час перекладу.</w:t>
            </w:r>
          </w:p>
          <w:p>
            <w:pPr>
              <w:pStyle w:val="6"/>
              <w:numPr>
                <w:ilvl w:val="0"/>
                <w:numId w:val="4"/>
              </w:numPr>
              <w:rPr>
                <w:rFonts w:asciiTheme="minorAscii" w:hAnsiTheme="minorAscii" w:eastAsiaTheme="minorAscii" w:cstheme="minorAscii"/>
                <w:sz w:val="28"/>
                <w:szCs w:val="28"/>
              </w:rPr>
            </w:pPr>
            <w:r>
              <w:rPr>
                <w:sz w:val="28"/>
                <w:szCs w:val="28"/>
              </w:rPr>
              <w:t>стратегії перекладу німецьких мовних структур;</w:t>
            </w:r>
          </w:p>
          <w:p>
            <w:pPr>
              <w:ind w:firstLine="567"/>
              <w:jc w:val="both"/>
            </w:pPr>
            <w:r>
              <w:t xml:space="preserve"> </w:t>
            </w:r>
          </w:p>
          <w:p>
            <w:pPr>
              <w:ind w:firstLine="567"/>
              <w:jc w:val="both"/>
            </w:pPr>
            <w:r>
              <w:rPr>
                <w:rFonts w:ascii="Times New Roman" w:hAnsi="Times New Roman" w:eastAsia="Times New Roman" w:cs="Times New Roman"/>
                <w:sz w:val="24"/>
                <w:szCs w:val="24"/>
              </w:rPr>
              <w:t xml:space="preserve">У результаті вивчення навчальної дисципліни студент буде </w:t>
            </w:r>
            <w:r>
              <w:rPr>
                <w:rFonts w:ascii="Times New Roman" w:hAnsi="Times New Roman" w:eastAsia="Times New Roman" w:cs="Times New Roman"/>
                <w:b/>
                <w:bCs/>
                <w:i/>
                <w:iCs/>
                <w:sz w:val="24"/>
                <w:szCs w:val="24"/>
              </w:rPr>
              <w:t>вміти</w:t>
            </w:r>
            <w:r>
              <w:rPr>
                <w:rFonts w:ascii="Times New Roman" w:hAnsi="Times New Roman" w:eastAsia="Times New Roman" w:cs="Times New Roman"/>
                <w:sz w:val="24"/>
                <w:szCs w:val="24"/>
              </w:rPr>
              <w:t xml:space="preserve">: </w:t>
            </w:r>
          </w:p>
          <w:p>
            <w:pPr>
              <w:pStyle w:val="6"/>
              <w:numPr>
                <w:ilvl w:val="0"/>
                <w:numId w:val="5"/>
              </w:numPr>
              <w:rPr>
                <w:rFonts w:asciiTheme="minorAscii" w:hAnsiTheme="minorAscii" w:eastAsiaTheme="minorAscii" w:cstheme="minorAscii"/>
                <w:sz w:val="24"/>
                <w:szCs w:val="24"/>
              </w:rPr>
            </w:pPr>
            <w:r>
              <w:rPr>
                <w:sz w:val="24"/>
                <w:szCs w:val="24"/>
              </w:rPr>
              <w:t xml:space="preserve">розуміти специфіку комунікативної ситуації; застосовувати стратегії перекладу; </w:t>
            </w:r>
          </w:p>
          <w:p>
            <w:pPr>
              <w:pStyle w:val="6"/>
              <w:numPr>
                <w:ilvl w:val="0"/>
                <w:numId w:val="5"/>
              </w:numPr>
              <w:rPr>
                <w:rFonts w:asciiTheme="minorAscii" w:hAnsiTheme="minorAscii" w:eastAsiaTheme="minorAscii" w:cstheme="minorAscii"/>
                <w:sz w:val="24"/>
                <w:szCs w:val="24"/>
              </w:rPr>
            </w:pPr>
            <w:r>
              <w:rPr>
                <w:sz w:val="24"/>
                <w:szCs w:val="24"/>
              </w:rPr>
              <w:t xml:space="preserve">перекладати терміни відповідно до комунікативно-прагматичних параметрів тексту; </w:t>
            </w:r>
          </w:p>
          <w:p>
            <w:pPr>
              <w:pStyle w:val="6"/>
              <w:numPr>
                <w:ilvl w:val="0"/>
                <w:numId w:val="5"/>
              </w:numPr>
              <w:rPr>
                <w:rFonts w:asciiTheme="minorAscii" w:hAnsiTheme="minorAscii" w:eastAsiaTheme="minorAscii" w:cstheme="minorAscii"/>
                <w:sz w:val="24"/>
                <w:szCs w:val="24"/>
              </w:rPr>
            </w:pPr>
            <w:r>
              <w:rPr>
                <w:sz w:val="24"/>
                <w:szCs w:val="24"/>
              </w:rPr>
              <w:t>передавати</w:t>
            </w:r>
            <w:r>
              <w:rPr>
                <w:rFonts w:ascii="Times New Roman" w:hAnsi="Times New Roman" w:eastAsia="Times New Roman" w:cs="Times New Roman"/>
                <w:sz w:val="24"/>
                <w:szCs w:val="24"/>
              </w:rPr>
              <w:t xml:space="preserve"> безеквівалентні  терміни за принципом пошуку відповідників для реалій; </w:t>
            </w:r>
          </w:p>
          <w:p>
            <w:pPr>
              <w:pStyle w:val="6"/>
              <w:numPr>
                <w:ilvl w:val="0"/>
                <w:numId w:val="5"/>
              </w:numPr>
              <w:rPr>
                <w:rFonts w:asciiTheme="minorAscii" w:hAnsiTheme="minorAscii" w:eastAsiaTheme="minorAscii" w:cstheme="minorAscii"/>
                <w:sz w:val="24"/>
                <w:szCs w:val="24"/>
              </w:rPr>
            </w:pPr>
            <w:r>
              <w:rPr>
                <w:sz w:val="24"/>
                <w:szCs w:val="24"/>
              </w:rPr>
              <w:t xml:space="preserve">сформувати культурну та міжкультурну компетенції перекладача. </w:t>
            </w:r>
          </w:p>
          <w:p>
            <w:pPr>
              <w:jc w:val="both"/>
            </w:pPr>
            <w:r>
              <w:rPr>
                <w:rFonts w:ascii="Times New Roman" w:hAnsi="Times New Roman" w:eastAsia="Times New Roman" w:cs="Times New Roman"/>
                <w:sz w:val="24"/>
                <w:szCs w:val="24"/>
              </w:rPr>
              <w:t xml:space="preserve"> </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Ключові слова</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переклад конференцій, лінгвопрагматика, комунікативна і мовна компетенції, комунікативна ситуація, стратегії перекладу</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Формат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Очний</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 xml:space="preserve"> </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Теми</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Згідно зі СХЕМОЮ КУРСУ (додається)</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Підсумковий контроль</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Залік в кінці семестру</w:t>
            </w:r>
          </w:p>
          <w:p>
            <w:pPr>
              <w:jc w:val="both"/>
            </w:pPr>
            <w:r>
              <w:rPr>
                <w:rFonts w:ascii="Times New Roman" w:hAnsi="Times New Roman" w:eastAsia="Times New Roman" w:cs="Times New Roman"/>
                <w:sz w:val="24"/>
                <w:szCs w:val="24"/>
              </w:rPr>
              <w:t xml:space="preserve">Виставляється автоматично на підставі врахування поточної успішності протягом семестру. </w:t>
            </w:r>
          </w:p>
          <w:p>
            <w:pPr>
              <w:jc w:val="both"/>
            </w:pPr>
            <w:r>
              <w:rPr>
                <w:rFonts w:ascii="Times New Roman" w:hAnsi="Times New Roman" w:eastAsia="Times New Roman" w:cs="Times New Roman"/>
                <w:sz w:val="24"/>
                <w:szCs w:val="24"/>
              </w:rPr>
              <w:t xml:space="preserve">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 </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підсумкове семестрове оцінювання (у формі заліку за результатами поточної успішності).</w:t>
            </w:r>
          </w:p>
        </w:tc>
      </w:tr>
      <w:tr>
        <w:tc>
          <w:tcPr>
            <w:tcW w:w="2201"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b/>
                <w:bCs/>
                <w:sz w:val="24"/>
                <w:szCs w:val="24"/>
              </w:rPr>
              <w:t>Пререквізити</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 xml:space="preserve">Для вивчення курсу студенти потребують базових знань з таких дисциплін: «Перша іноземна мова», «Українська мова», «Практика перекладу», «Послідовний переклад», достатніх для сприйняття категоріального апарату в рамках дисципліни «Переклад конференцій». </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Навчальні методи та техніки, які будуть використовуватися під час викладання курсу</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Під час викладання навчальної дисципліни підлягають використанню методи, спрямовані на:</w:t>
            </w:r>
          </w:p>
          <w:p>
            <w:pPr>
              <w:jc w:val="both"/>
            </w:pPr>
            <w:r>
              <w:rPr>
                <w:rFonts w:ascii="Times New Roman" w:hAnsi="Times New Roman" w:eastAsia="Times New Roman" w:cs="Times New Roman"/>
                <w:sz w:val="24"/>
                <w:szCs w:val="24"/>
              </w:rPr>
              <w:t>-   формування у студентів інтересу до пізнавальної діяльності і відповідальності за навчальну працю;</w:t>
            </w:r>
          </w:p>
          <w:p>
            <w:pPr>
              <w:jc w:val="both"/>
            </w:pPr>
            <w:r>
              <w:rPr>
                <w:rFonts w:ascii="Times New Roman" w:hAnsi="Times New Roman" w:eastAsia="Times New Roman" w:cs="Times New Roman"/>
                <w:sz w:val="24"/>
                <w:szCs w:val="24"/>
              </w:rPr>
              <w:t>-   забезпечення мисленнєвої діяльності (індуктивного, дедуктивного, репродуктивного й пошукового характеру);</w:t>
            </w:r>
          </w:p>
          <w:p>
            <w:pPr>
              <w:jc w:val="both"/>
            </w:pPr>
            <w:r>
              <w:rPr>
                <w:rFonts w:ascii="Times New Roman" w:hAnsi="Times New Roman" w:eastAsia="Times New Roman" w:cs="Times New Roman"/>
                <w:sz w:val="24"/>
                <w:szCs w:val="24"/>
              </w:rPr>
              <w:t xml:space="preserve">-   методи, пов’язані з контролем за навчальною діяльністю студентів. </w:t>
            </w:r>
          </w:p>
          <w:p>
            <w:pPr>
              <w:jc w:val="both"/>
            </w:pPr>
            <w:r>
              <w:rPr>
                <w:rFonts w:ascii="Times New Roman" w:hAnsi="Times New Roman" w:eastAsia="Times New Roman" w:cs="Times New Roman"/>
                <w:sz w:val="24"/>
                <w:szCs w:val="24"/>
              </w:rPr>
              <w:t xml:space="preserve">Серед методів навчання, зокрема, підлягають застосуванню наступні: </w:t>
            </w:r>
          </w:p>
          <w:p>
            <w:pPr>
              <w:jc w:val="both"/>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інформаційно-рецептивні (розповідь, пояснення, бесіда, лекція,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індивідуальні завдання (підготовка реферату тощо),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Необхідне обладнання</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jc w:val="both"/>
            </w:pPr>
            <w:r>
              <w:rPr>
                <w:rFonts w:ascii="Times New Roman" w:hAnsi="Times New Roman" w:eastAsia="Times New Roman" w:cs="Times New Roman"/>
                <w:sz w:val="24"/>
                <w:szCs w:val="24"/>
              </w:rPr>
              <w:t xml:space="preserve">Для проведення аудиторних занять потрібні ноутбук і проектор. </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Критерії оцінювання (окремо для кожного виду навчальної діяльності)</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jc w:val="both"/>
            </w:pPr>
            <w:r>
              <w:rPr>
                <w:rFonts w:ascii="Times New Roman" w:hAnsi="Times New Roman" w:eastAsia="Times New Roman" w:cs="Times New Roman"/>
                <w:sz w:val="24"/>
                <w:szCs w:val="24"/>
              </w:rPr>
              <w:t xml:space="preserve">Бали нараховуються за наступним співвідношенням: </w:t>
            </w:r>
          </w:p>
          <w:p>
            <w:pPr>
              <w:jc w:val="both"/>
            </w:pPr>
            <w:r>
              <w:rPr>
                <w:rFonts w:ascii="Times New Roman" w:hAnsi="Times New Roman" w:eastAsia="Times New Roman" w:cs="Times New Roman"/>
                <w:sz w:val="24"/>
                <w:szCs w:val="24"/>
              </w:rPr>
              <w:t>• практичні заняття: 50% семестрової оцінки; максимальна кількість балів – 50 балів;</w:t>
            </w:r>
          </w:p>
          <w:p>
            <w:pPr>
              <w:jc w:val="both"/>
            </w:pPr>
            <w:r>
              <w:rPr>
                <w:rFonts w:ascii="Times New Roman" w:hAnsi="Times New Roman" w:eastAsia="Times New Roman" w:cs="Times New Roman"/>
                <w:sz w:val="24"/>
                <w:szCs w:val="24"/>
              </w:rPr>
              <w:t xml:space="preserve">• дві модульні контрольні роботи: 20% семестрової оцінки; максимальна кількість балів – 20 балів (2 х 10); </w:t>
            </w:r>
          </w:p>
          <w:p>
            <w:pPr>
              <w:jc w:val="both"/>
            </w:pPr>
            <w:r>
              <w:rPr>
                <w:rFonts w:ascii="Times New Roman" w:hAnsi="Times New Roman" w:eastAsia="Times New Roman" w:cs="Times New Roman"/>
                <w:sz w:val="24"/>
                <w:szCs w:val="24"/>
              </w:rPr>
              <w:t>• відвідування аудиторних занять: 10% семестрової оцінки; максимальна кількість балів – 10 балів;</w:t>
            </w:r>
          </w:p>
          <w:p>
            <w:pPr>
              <w:jc w:val="both"/>
            </w:pPr>
            <w:r>
              <w:rPr>
                <w:rFonts w:ascii="Times New Roman" w:hAnsi="Times New Roman" w:eastAsia="Times New Roman" w:cs="Times New Roman"/>
                <w:sz w:val="24"/>
                <w:szCs w:val="24"/>
              </w:rPr>
              <w:t xml:space="preserve">• самостійна робота: 20% семестрової оцінки; максимальна кількість балів – 20 балів. </w:t>
            </w:r>
          </w:p>
          <w:p>
            <w:pPr>
              <w:jc w:val="both"/>
            </w:pPr>
            <w:r>
              <w:rPr>
                <w:rFonts w:ascii="Times New Roman" w:hAnsi="Times New Roman" w:eastAsia="Times New Roman" w:cs="Times New Roman"/>
                <w:sz w:val="24"/>
                <w:szCs w:val="24"/>
              </w:rPr>
              <w:t>Залік оформляється шляхом сумування одержаних студентом балів за усі види навчальної діяльності.</w:t>
            </w:r>
          </w:p>
          <w:p>
            <w:pPr>
              <w:jc w:val="both"/>
            </w:pPr>
            <w:r>
              <w:rPr>
                <w:rFonts w:ascii="Times New Roman" w:hAnsi="Times New Roman" w:eastAsia="Times New Roman" w:cs="Times New Roman"/>
                <w:sz w:val="24"/>
                <w:szCs w:val="24"/>
              </w:rPr>
              <w:t>Підсумкова максимальна кількість балів – 100 балів.</w:t>
            </w:r>
          </w:p>
          <w:p>
            <w:pPr>
              <w:jc w:val="both"/>
            </w:pPr>
            <w:r>
              <w:rPr>
                <w:rFonts w:ascii="Times New Roman" w:hAnsi="Times New Roman" w:eastAsia="Times New Roman" w:cs="Times New Roman"/>
                <w:sz w:val="24"/>
                <w:szCs w:val="24"/>
              </w:rPr>
              <w:t xml:space="preserve"> </w:t>
            </w:r>
          </w:p>
          <w:p>
            <w:pPr>
              <w:jc w:val="center"/>
            </w:pPr>
            <w:r>
              <w:rPr>
                <w:b/>
                <w:bCs/>
                <w:sz w:val="24"/>
                <w:szCs w:val="24"/>
              </w:rPr>
              <w:t>Шкала оцінювання модульної контрольної роботи</w:t>
            </w:r>
          </w:p>
          <w:tbl>
            <w:tblPr>
              <w:tblStyle w:val="4"/>
              <w:tblW w:w="0" w:type="auto"/>
              <w:tblInd w:w="0" w:type="dxa"/>
              <w:tblLayout w:type="fixed"/>
              <w:tblCellMar>
                <w:top w:w="0" w:type="dxa"/>
                <w:left w:w="108" w:type="dxa"/>
                <w:bottom w:w="0" w:type="dxa"/>
                <w:right w:w="108" w:type="dxa"/>
              </w:tblCellMar>
            </w:tblPr>
            <w:tblGrid>
              <w:gridCol w:w="3347"/>
              <w:gridCol w:w="3347"/>
            </w:tblGrid>
            <w:tr>
              <w:tc>
                <w:tcPr>
                  <w:tcW w:w="3347" w:type="dxa"/>
                  <w:tcBorders>
                    <w:top w:val="single" w:color="auto" w:sz="8" w:space="0"/>
                    <w:left w:val="single" w:color="auto" w:sz="8" w:space="0"/>
                    <w:bottom w:val="single" w:color="auto" w:sz="8" w:space="0"/>
                    <w:right w:val="single" w:color="auto" w:sz="8" w:space="0"/>
                  </w:tcBorders>
                  <w:vAlign w:val="top"/>
                </w:tcPr>
                <w:p>
                  <w:r>
                    <w:rPr>
                      <w:b/>
                      <w:bCs/>
                      <w:sz w:val="24"/>
                      <w:szCs w:val="24"/>
                    </w:rPr>
                    <w:t>Кількість балів</w:t>
                  </w:r>
                </w:p>
              </w:tc>
              <w:tc>
                <w:tcPr>
                  <w:tcW w:w="3347" w:type="dxa"/>
                  <w:tcBorders>
                    <w:top w:val="single" w:color="auto" w:sz="8" w:space="0"/>
                    <w:left w:val="single" w:color="auto" w:sz="8" w:space="0"/>
                    <w:bottom w:val="single" w:color="auto" w:sz="8" w:space="0"/>
                    <w:right w:val="single" w:color="auto" w:sz="8" w:space="0"/>
                  </w:tcBorders>
                  <w:vAlign w:val="top"/>
                </w:tcPr>
                <w:p>
                  <w:r>
                    <w:rPr>
                      <w:b/>
                      <w:bCs/>
                      <w:sz w:val="24"/>
                      <w:szCs w:val="24"/>
                    </w:rPr>
                    <w:t>% правильних відповідей</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10</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100 – 96</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9</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95 – 91</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8</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90 – 86</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7</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85 – 81</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6</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80 – 76</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5</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75 – 71</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4</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70 – 66</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3</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65 – 61</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2</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60 – 56</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1</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55 – 51</w:t>
                  </w:r>
                </w:p>
              </w:tc>
            </w:tr>
            <w:tr>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0</w:t>
                  </w:r>
                </w:p>
              </w:tc>
              <w:tc>
                <w:tcPr>
                  <w:tcW w:w="3347" w:type="dxa"/>
                  <w:tcBorders>
                    <w:top w:val="single" w:color="auto" w:sz="8" w:space="0"/>
                    <w:left w:val="single" w:color="auto" w:sz="8" w:space="0"/>
                    <w:bottom w:val="single" w:color="auto" w:sz="8" w:space="0"/>
                    <w:right w:val="single" w:color="auto" w:sz="8" w:space="0"/>
                  </w:tcBorders>
                  <w:vAlign w:val="top"/>
                </w:tcPr>
                <w:p>
                  <w:r>
                    <w:rPr>
                      <w:sz w:val="24"/>
                      <w:szCs w:val="24"/>
                    </w:rPr>
                    <w:t xml:space="preserve">  50 і менше</w:t>
                  </w:r>
                </w:p>
              </w:tc>
            </w:tr>
          </w:tbl>
          <w:p>
            <w:pPr>
              <w:jc w:val="both"/>
            </w:pPr>
            <w:r>
              <w:rPr>
                <w:rFonts w:ascii="Times New Roman" w:hAnsi="Times New Roman" w:eastAsia="Times New Roman" w:cs="Times New Roman"/>
                <w:sz w:val="24"/>
                <w:szCs w:val="24"/>
              </w:rPr>
              <w:t xml:space="preserve"> </w:t>
            </w:r>
          </w:p>
          <w:p>
            <w:pPr>
              <w:jc w:val="both"/>
            </w:pPr>
            <w:r>
              <w:rPr>
                <w:rFonts w:ascii="Times New Roman" w:hAnsi="Times New Roman" w:eastAsia="Times New Roman" w:cs="Times New Roman"/>
                <w:b/>
                <w:bCs/>
                <w:sz w:val="24"/>
                <w:szCs w:val="24"/>
              </w:rPr>
              <w:t>Самостійна робота студента</w:t>
            </w:r>
            <w:r>
              <w:rPr>
                <w:rFonts w:ascii="Times New Roman" w:hAnsi="Times New Roman" w:eastAsia="Times New Roman" w:cs="Times New Roman"/>
                <w:sz w:val="24"/>
                <w:szCs w:val="24"/>
              </w:rPr>
              <w:t xml:space="preserve"> (СРС) є основним засобом оволодіннянавчальним матеріалом у час, вільний від обов’язкових навчальних занять, і є невід’ємною складовою процесу вивчення дисципліни «Переклад конференцій». Зміст СРС з дисципліни «Переклад конференцій»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jc w:val="both"/>
            </w:pPr>
            <w:r>
              <w:rPr>
                <w:rFonts w:ascii="Times New Roman" w:hAnsi="Times New Roman" w:eastAsia="Times New Roman" w:cs="Times New Roman"/>
                <w:b/>
                <w:bCs/>
                <w:sz w:val="24"/>
                <w:szCs w:val="24"/>
              </w:rPr>
              <w:t>Академічна доброчесність</w:t>
            </w:r>
            <w:r>
              <w:rPr>
                <w:rFonts w:ascii="Times New Roman" w:hAnsi="Times New Roman" w:eastAsia="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jc w:val="both"/>
            </w:pPr>
            <w:r>
              <w:rPr>
                <w:rFonts w:ascii="Times New Roman" w:hAnsi="Times New Roman" w:eastAsia="Times New Roman" w:cs="Times New Roman"/>
                <w:b/>
                <w:bCs/>
                <w:sz w:val="24"/>
                <w:szCs w:val="24"/>
              </w:rPr>
              <w:t>Відвідання занять</w:t>
            </w:r>
            <w:r>
              <w:rPr>
                <w:rFonts w:ascii="Times New Roman" w:hAnsi="Times New Roman" w:eastAsia="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jc w:val="both"/>
            </w:pPr>
            <w:r>
              <w:rPr>
                <w:rFonts w:ascii="Times New Roman" w:hAnsi="Times New Roman" w:eastAsia="Times New Roman" w:cs="Times New Roman"/>
                <w:b/>
                <w:bCs/>
                <w:sz w:val="24"/>
                <w:szCs w:val="24"/>
              </w:rPr>
              <w:t>Література</w:t>
            </w:r>
            <w:r>
              <w:rPr>
                <w:rFonts w:ascii="Times New Roman" w:hAnsi="Times New Roman" w:eastAsia="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jc w:val="both"/>
            </w:pPr>
            <w:r>
              <w:rPr>
                <w:rFonts w:ascii="Times New Roman" w:hAnsi="Times New Roman" w:eastAsia="Times New Roman" w:cs="Times New Roman"/>
                <w:b/>
                <w:bCs/>
                <w:sz w:val="24"/>
                <w:szCs w:val="24"/>
              </w:rPr>
              <w:t>Політика виставлення балів</w:t>
            </w:r>
            <w:r>
              <w:rPr>
                <w:rFonts w:ascii="Times New Roman" w:hAnsi="Times New Roman" w:eastAsia="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jc w:val="both"/>
            </w:pPr>
            <w:r>
              <w:rPr>
                <w:rFonts w:ascii="Times New Roman" w:hAnsi="Times New Roman" w:eastAsia="Times New Roman" w:cs="Times New Roman"/>
                <w:b/>
                <w:bCs/>
                <w:sz w:val="24"/>
                <w:szCs w:val="24"/>
              </w:rPr>
              <w:t>Жодні форми порушення академічної доброчесності не толеруються</w:t>
            </w:r>
            <w:r>
              <w:rPr>
                <w:rFonts w:ascii="Times New Roman" w:hAnsi="Times New Roman" w:eastAsia="Times New Roman" w:cs="Times New Roman"/>
                <w:sz w:val="24"/>
                <w:szCs w:val="24"/>
              </w:rPr>
              <w:t>.</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Питання до заліку чи екзамену.</w:t>
            </w:r>
          </w:p>
        </w:tc>
        <w:tc>
          <w:tcPr>
            <w:tcW w:w="6814" w:type="dxa"/>
            <w:tcBorders>
              <w:top w:val="single" w:color="auto" w:sz="8" w:space="0"/>
              <w:left w:val="single" w:color="auto" w:sz="8" w:space="0"/>
              <w:bottom w:val="single" w:color="auto" w:sz="8" w:space="0"/>
              <w:right w:val="single" w:color="auto" w:sz="8" w:space="0"/>
            </w:tcBorders>
            <w:vAlign w:val="top"/>
          </w:tcPr>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Прагматичні відношення у перекладі.</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Поняття «прагматика» у перекладі.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Прагматичний вимір у перекладі.</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Прагматичний потенціал висловлювання.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Типи прагматичних відношень.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Теорія мовленнєвих актів (Остін, Дж. Серль).</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Прагматична адаптація текстів і якість перекладу.</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Ілокутивні індикатори у тексті.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Функціональна перспектива речення і фокусування.</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Типи текстів крізь призму комунікативних конвенцій.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Види прагматичної адаптації.</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Стратегія перекладу (Гьоніг, Кусмауль). </w:t>
            </w:r>
          </w:p>
          <w:p>
            <w:pPr>
              <w:pStyle w:val="6"/>
              <w:numPr>
                <w:ilvl w:val="0"/>
                <w:numId w:val="6"/>
              </w:numPr>
              <w:rPr>
                <w:rFonts w:asciiTheme="minorAscii" w:hAnsiTheme="minorAscii" w:eastAsiaTheme="minorAscii" w:cstheme="minorAscii"/>
                <w:sz w:val="24"/>
                <w:szCs w:val="24"/>
              </w:rPr>
            </w:pPr>
            <w:r>
              <w:rPr>
                <w:rFonts w:ascii="Times New Roman" w:hAnsi="Times New Roman" w:eastAsia="Times New Roman" w:cs="Times New Roman"/>
                <w:sz w:val="24"/>
                <w:szCs w:val="24"/>
                <w:lang w:val="ru"/>
              </w:rPr>
              <w:t xml:space="preserve">Оцінка якості перекладу (адекватний переклад;  еквівалентний переклад; точний переклад; буквальний переклад; вільний переклад). </w:t>
            </w:r>
          </w:p>
        </w:tc>
      </w:tr>
      <w:tr>
        <w:tc>
          <w:tcPr>
            <w:tcW w:w="2201"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Опитування</w:t>
            </w:r>
          </w:p>
        </w:tc>
        <w:tc>
          <w:tcPr>
            <w:tcW w:w="6814" w:type="dxa"/>
            <w:tcBorders>
              <w:top w:val="single" w:color="auto" w:sz="8" w:space="0"/>
              <w:left w:val="single" w:color="auto" w:sz="8" w:space="0"/>
              <w:bottom w:val="single" w:color="auto" w:sz="8" w:space="0"/>
              <w:right w:val="single" w:color="auto" w:sz="8" w:space="0"/>
            </w:tcBorders>
            <w:vAlign w:val="top"/>
          </w:tcPr>
          <w:p>
            <w:pPr>
              <w:jc w:val="both"/>
            </w:pPr>
            <w:r>
              <w:rPr>
                <w:rFonts w:ascii="Times New Roman" w:hAnsi="Times New Roman" w:eastAsia="Times New Roman" w:cs="Times New Roman"/>
                <w:sz w:val="24"/>
                <w:szCs w:val="24"/>
              </w:rPr>
              <w:t>Анкету-оцінку з метою оцінювання якості курсу буде надано по завершенню курсу.</w:t>
            </w:r>
          </w:p>
        </w:tc>
      </w:tr>
    </w:tbl>
    <w:p>
      <w:pPr>
        <w:spacing w:line="276" w:lineRule="auto"/>
        <w:jc w:val="both"/>
      </w:pPr>
      <w:r>
        <w:rPr>
          <w:rFonts w:ascii="Times New Roman" w:hAnsi="Times New Roman" w:eastAsia="Times New Roman" w:cs="Times New Roman"/>
          <w:b/>
          <w:bCs/>
          <w:sz w:val="24"/>
          <w:szCs w:val="24"/>
          <w:lang w:val="uk-UA"/>
        </w:rPr>
        <w:t xml:space="preserve"> </w:t>
      </w:r>
    </w:p>
    <w:p>
      <w:pPr>
        <w:spacing w:line="276" w:lineRule="auto"/>
        <w:jc w:val="both"/>
      </w:pPr>
      <w:r>
        <w:rPr>
          <w:rFonts w:ascii="Times New Roman" w:hAnsi="Times New Roman" w:eastAsia="Times New Roman" w:cs="Times New Roman"/>
          <w:b/>
          <w:bCs/>
          <w:sz w:val="24"/>
          <w:szCs w:val="24"/>
          <w:lang w:val="uk-UA"/>
        </w:rPr>
        <w:t xml:space="preserve"> </w:t>
      </w:r>
    </w:p>
    <w:p>
      <w:pPr>
        <w:ind w:firstLine="708"/>
        <w:jc w:val="both"/>
      </w:pPr>
      <w:r>
        <w:rPr>
          <w:rFonts w:ascii="Calibri" w:hAnsi="Calibri" w:eastAsia="Calibri" w:cs="Calibri"/>
          <w:b/>
          <w:bCs/>
          <w:sz w:val="24"/>
          <w:szCs w:val="24"/>
          <w:lang w:val="uk-UA"/>
        </w:rPr>
        <w:t xml:space="preserve"> </w:t>
      </w:r>
    </w:p>
    <w:p>
      <w:pPr>
        <w:spacing w:line="276" w:lineRule="auto"/>
        <w:jc w:val="both"/>
      </w:pPr>
      <w:r>
        <w:rPr>
          <w:rFonts w:ascii="Times New Roman" w:hAnsi="Times New Roman" w:eastAsia="Times New Roman" w:cs="Times New Roman"/>
          <w:sz w:val="24"/>
          <w:szCs w:val="24"/>
          <w:lang w:val="uk-UA"/>
        </w:rPr>
        <w:t xml:space="preserve"> </w:t>
      </w:r>
    </w:p>
    <w:p>
      <w:pPr>
        <w:spacing w:line="276" w:lineRule="auto"/>
        <w:jc w:val="both"/>
      </w:pPr>
      <w:r>
        <w:rPr>
          <w:rFonts w:ascii="Times New Roman" w:hAnsi="Times New Roman" w:eastAsia="Times New Roman" w:cs="Times New Roman"/>
          <w:sz w:val="24"/>
          <w:szCs w:val="24"/>
          <w:lang w:val="uk-UA"/>
        </w:rPr>
        <w:t xml:space="preserve"> </w:t>
      </w:r>
    </w:p>
    <w:p>
      <w:pPr>
        <w:spacing w:line="276" w:lineRule="auto"/>
        <w:rPr>
          <w:rFonts w:ascii="Times New Roman" w:hAnsi="Times New Roman" w:eastAsia="Times New Roman" w:cs="Times New Roman"/>
          <w:sz w:val="24"/>
          <w:szCs w:val="24"/>
          <w:lang w:val="uk-UA"/>
        </w:rPr>
      </w:pPr>
      <w:r>
        <w:br w:type="textWrapping"/>
      </w:r>
      <w:bookmarkStart w:id="0" w:name="_GoBack"/>
      <w:bookmarkEnd w:id="0"/>
    </w:p>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B18F"/>
    <w:multiLevelType w:val="multilevel"/>
    <w:tmpl w:val="602EB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02EB19A"/>
    <w:multiLevelType w:val="multilevel"/>
    <w:tmpl w:val="602EB1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02EB1A5"/>
    <w:multiLevelType w:val="multilevel"/>
    <w:tmpl w:val="602EB1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602EB1B0"/>
    <w:multiLevelType w:val="multilevel"/>
    <w:tmpl w:val="602EB1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602EB1BB"/>
    <w:multiLevelType w:val="multilevel"/>
    <w:tmpl w:val="602EB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02EB1C6"/>
    <w:multiLevelType w:val="multilevel"/>
    <w:tmpl w:val="602EB1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390096"/>
    <w:rsid w:val="29390096"/>
    <w:rsid w:val="318126DC"/>
    <w:rsid w:val="3229B632"/>
    <w:rsid w:val="776BF55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Христина  Дяків</dc:creator>
  <cp:lastModifiedBy>olgadenys</cp:lastModifiedBy>
  <dcterms:modified xsi:type="dcterms:W3CDTF">2021-02-18T18:29:05Z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