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ПРАКТИКА ПЕРЕКЛАДУ З ПЕРШОЇ ІНОЗЕМНОЇ МОВИ</w:t>
      </w:r>
    </w:p>
    <w:p>
      <w:pPr>
        <w:jc w:val="center"/>
        <w:rPr>
          <w:rFonts w:ascii="Times New Roman" w:hAnsi="Times New Roman" w:cs="Times New Roman"/>
          <w:b/>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Освітній ступінь Бакалавр</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Спеціалізація 035.04 Германські мови та літератури </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(переклад включно)</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Освітня програма: Переклад (німецька мова)</w:t>
      </w:r>
    </w:p>
    <w:p>
      <w:pPr>
        <w:ind w:left="2127" w:hanging="2127"/>
        <w:rPr>
          <w:rFonts w:ascii="Times New Roman" w:hAnsi="Times New Roman" w:cs="Times New Roman"/>
          <w:b/>
          <w:bCs/>
          <w:sz w:val="28"/>
          <w:szCs w:val="28"/>
        </w:rPr>
      </w:pPr>
    </w:p>
    <w:p>
      <w:pPr>
        <w:jc w:val="center"/>
        <w:rPr>
          <w:rFonts w:ascii="Times New Roman" w:hAnsi="Times New Roman" w:cs="Times New Roman"/>
          <w:b/>
          <w:bCs/>
          <w:sz w:val="28"/>
          <w:szCs w:val="28"/>
        </w:rPr>
      </w:pP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2020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«Практика перекладу з першої іноземної мови»</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Практика перекладу з першої іноземної мови</w:t>
            </w:r>
          </w:p>
        </w:tc>
      </w:tr>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 германські мови та літератури (переклад включно)</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ВИКЛАДАЧІВ</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26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Мольдерф Оксана Євгенівна</w:t>
            </w:r>
          </w:p>
        </w:tc>
        <w:tc>
          <w:tcPr>
            <w:tcW w:w="241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Паламар Наталія Ігорівна</w:t>
            </w:r>
          </w:p>
        </w:tc>
        <w:tc>
          <w:tcPr>
            <w:tcW w:w="241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Дяків Христина Юріївна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2693"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магістр</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філологічних наук</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2693"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2693"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2693"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241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24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2693" w:type="dxa"/>
          </w:tcPr>
          <w:p>
            <w:pPr>
              <w:spacing w:after="0" w:line="240" w:lineRule="auto"/>
              <w:rPr>
                <w:rFonts w:ascii="Times New Roman" w:hAnsi="Times New Roman" w:cs="Times New Roman"/>
                <w:color w:val="000000" w:themeColor="text1"/>
                <w:sz w:val="24"/>
                <w:szCs w:val="24"/>
              </w:rPr>
            </w:pPr>
            <w:r>
              <w:fldChar w:fldCharType="begin"/>
            </w:r>
            <w:r>
              <w:instrText xml:space="preserve"> HYPERLINK "mailto:oksana.molderf@lnu.edu.ua" </w:instrText>
            </w:r>
            <w:r>
              <w:fldChar w:fldCharType="separate"/>
            </w:r>
            <w:r>
              <w:rPr>
                <w:rStyle w:val="9"/>
                <w:rFonts w:ascii="Times New Roman" w:hAnsi="Times New Roman" w:cs="Times New Roman"/>
                <w:color w:val="000000" w:themeColor="text1"/>
                <w:sz w:val="24"/>
                <w:szCs w:val="24"/>
                <w:u w:val="none"/>
                <w:lang w:val="en-US"/>
              </w:rPr>
              <w:t>oksana</w:t>
            </w:r>
            <w:r>
              <w:rPr>
                <w:rStyle w:val="9"/>
                <w:rFonts w:ascii="Times New Roman" w:hAnsi="Times New Roman" w:cs="Times New Roman"/>
                <w:color w:val="000000" w:themeColor="text1"/>
                <w:sz w:val="24"/>
                <w:szCs w:val="24"/>
                <w:u w:val="none"/>
              </w:rPr>
              <w:t>.</w:t>
            </w:r>
            <w:r>
              <w:rPr>
                <w:rStyle w:val="9"/>
                <w:rFonts w:ascii="Times New Roman" w:hAnsi="Times New Roman" w:cs="Times New Roman"/>
                <w:color w:val="000000" w:themeColor="text1"/>
                <w:sz w:val="24"/>
                <w:szCs w:val="24"/>
                <w:u w:val="none"/>
                <w:lang w:val="en-US"/>
              </w:rPr>
              <w:t>molderf</w:t>
            </w:r>
            <w:r>
              <w:rPr>
                <w:rStyle w:val="9"/>
                <w:rFonts w:ascii="Times New Roman" w:hAnsi="Times New Roman" w:cs="Times New Roman"/>
                <w:color w:val="000000" w:themeColor="text1"/>
                <w:sz w:val="24"/>
                <w:szCs w:val="24"/>
                <w:u w:val="none"/>
              </w:rPr>
              <w:t>@lnu.edu.ua</w:t>
            </w:r>
            <w:r>
              <w:rPr>
                <w:rStyle w:val="9"/>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xml:space="preserve"> </w:t>
            </w:r>
          </w:p>
        </w:tc>
        <w:tc>
          <w:tcPr>
            <w:tcW w:w="2410" w:type="dxa"/>
          </w:tcPr>
          <w:p>
            <w:pPr>
              <w:spacing w:after="0" w:line="240" w:lineRule="auto"/>
              <w:rPr>
                <w:rFonts w:ascii="Times New Roman" w:hAnsi="Times New Roman" w:cs="Times New Roman"/>
                <w:color w:val="000000" w:themeColor="text1"/>
                <w:sz w:val="24"/>
              </w:rPr>
            </w:pPr>
            <w:r>
              <w:fldChar w:fldCharType="begin"/>
            </w:r>
            <w:r>
              <w:instrText xml:space="preserve"> HYPERLINK "mailto:nataliya.palamar@lnu.edu.ua" </w:instrText>
            </w:r>
            <w:r>
              <w:fldChar w:fldCharType="separate"/>
            </w:r>
            <w:r>
              <w:rPr>
                <w:rStyle w:val="9"/>
                <w:rFonts w:ascii="Times New Roman" w:hAnsi="Times New Roman" w:cs="Times New Roman"/>
                <w:color w:val="000000" w:themeColor="text1"/>
                <w:u w:val="none"/>
              </w:rPr>
              <w:t>nataliya.palamar@lnu.edu.ua</w:t>
            </w:r>
            <w:r>
              <w:rPr>
                <w:rStyle w:val="9"/>
                <w:rFonts w:ascii="Times New Roman" w:hAnsi="Times New Roman" w:cs="Times New Roman"/>
                <w:color w:val="000000" w:themeColor="text1"/>
                <w:u w:val="none"/>
              </w:rPr>
              <w:fldChar w:fldCharType="end"/>
            </w:r>
          </w:p>
        </w:tc>
        <w:tc>
          <w:tcPr>
            <w:tcW w:w="2410" w:type="dxa"/>
          </w:tcPr>
          <w:p>
            <w:pPr>
              <w:spacing w:after="0" w:line="240" w:lineRule="auto"/>
              <w:rPr>
                <w:rFonts w:ascii="Times New Roman" w:hAnsi="Times New Roman" w:cs="Times New Roman"/>
                <w:color w:val="000000" w:themeColor="text1"/>
              </w:rPr>
            </w:pPr>
            <w:r>
              <w:fldChar w:fldCharType="begin"/>
            </w:r>
            <w:r>
              <w:instrText xml:space="preserve"> HYPERLINK "mailto:khrystyna.dyakiv@lnu.edu.ua" </w:instrText>
            </w:r>
            <w:r>
              <w:fldChar w:fldCharType="separate"/>
            </w:r>
            <w:r>
              <w:rPr>
                <w:rStyle w:val="9"/>
                <w:rFonts w:ascii="Times New Roman" w:hAnsi="Times New Roman" w:cs="Times New Roman"/>
                <w:color w:val="000000" w:themeColor="text1"/>
                <w:u w:val="none"/>
              </w:rPr>
              <w:t>khrystyna.dyakiv@lnu.edu.ua</w:t>
            </w:r>
            <w:r>
              <w:rPr>
                <w:rStyle w:val="9"/>
                <w:rFonts w:ascii="Times New Roman" w:hAnsi="Times New Roman" w:cs="Times New Roman"/>
                <w:color w:val="000000" w:themeColor="text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2693" w:type="dxa"/>
          </w:tcPr>
          <w:p>
            <w:pPr>
              <w:spacing w:after="0" w:line="240" w:lineRule="auto"/>
              <w:rPr>
                <w:rFonts w:ascii="Times New Roman" w:hAnsi="Times New Roman" w:cs="Times New Roman"/>
                <w:color w:val="000000" w:themeColor="text1"/>
                <w:sz w:val="24"/>
                <w:szCs w:val="24"/>
              </w:rPr>
            </w:pPr>
            <w:r>
              <w:fldChar w:fldCharType="begin"/>
            </w:r>
            <w:r>
              <w:instrText xml:space="preserve"> HYPERLINK "https://lingua.lnu.edu.ua/employee/molderf-oksana-evhenivna" </w:instrText>
            </w:r>
            <w:r>
              <w:fldChar w:fldCharType="separate"/>
            </w:r>
            <w:r>
              <w:rPr>
                <w:rStyle w:val="9"/>
                <w:rFonts w:ascii="Times New Roman" w:hAnsi="Times New Roman" w:cs="Times New Roman"/>
                <w:color w:val="000000" w:themeColor="text1"/>
                <w:sz w:val="24"/>
                <w:szCs w:val="24"/>
                <w:u w:val="none"/>
              </w:rPr>
              <w:t>https://lingua.lnu.edu.ua/employee/molderf-oksana-evhenivna</w:t>
            </w:r>
            <w:r>
              <w:rPr>
                <w:rStyle w:val="9"/>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rPr>
              <w:t xml:space="preserve"> </w:t>
            </w:r>
          </w:p>
        </w:tc>
        <w:tc>
          <w:tcPr>
            <w:tcW w:w="2410" w:type="dxa"/>
          </w:tcPr>
          <w:p>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https://lingua.lnu.edu.ua/employee/palamar-natalya-ihorivna</w:t>
            </w:r>
          </w:p>
        </w:tc>
        <w:tc>
          <w:tcPr>
            <w:tcW w:w="2410" w:type="dxa"/>
          </w:tcPr>
          <w:p>
            <w:pPr>
              <w:spacing w:after="0" w:line="240" w:lineRule="auto"/>
              <w:rPr>
                <w:rFonts w:ascii="Times New Roman" w:hAnsi="Times New Roman" w:cs="Times New Roman"/>
                <w:color w:val="000000" w:themeColor="text1"/>
              </w:rPr>
            </w:pPr>
            <w:r>
              <w:rPr>
                <w:rStyle w:val="20"/>
                <w:rFonts w:ascii="Times New Roman" w:hAnsi="Times New Roman" w:cs="Times New Roman"/>
                <w:color w:val="000000" w:themeColor="text1"/>
              </w:rPr>
              <w:t>https://lingua.lnu.edu.ua/employee/dyakiv-hrystyna-yurijivna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747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день проведення практичних занять (за попередньою домовленістю).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7478"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2"/>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289"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9"/>
                <w:rFonts w:ascii="Times New Roman" w:hAnsi="Times New Roman" w:cs="Times New Roman"/>
                <w:sz w:val="24"/>
                <w:szCs w:val="24"/>
              </w:rPr>
              <w:t>https://lingua.lnu.edu.ua/department/mizhkulturnoji-komunikatsiji-ta-perekladu</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289"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Дисципліна «Практика перекладу з першої іноземної мови» є нормативною дисципліною зі спеціальності 035 Філологія для освітньої програми ОС «бакалавр», яка викладається у 7-8 семестрах в загальному обсязі 4 кредитів (2,5 кредити – перший семестр, 1,5 кредити – другий семестр)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28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формувати у студентів практичні навички самостійного письмового перекладу науково-технічних, газетно-публіцистичних, юридичних та художніх текстів, а також навички вільного усного перекладу ділових перемовин та конференцій.</w:t>
            </w:r>
          </w:p>
          <w:p>
            <w:pPr>
              <w:pStyle w:val="13"/>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сформувати уміння та навички використання прийомів перекладу на різних рівнях еквівалентності, зважаючи на його лексичні, граматичні, синтаксичні та стилістичні аспекти, навчити прийомам роботи з німецькомовними текстами різної жанрової специфіки.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89"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9"/>
              <w:numPr>
                <w:ilvl w:val="0"/>
                <w:numId w:val="1"/>
              </w:numPr>
              <w:spacing w:after="23"/>
              <w:ind w:left="235" w:hanging="235"/>
              <w:jc w:val="both"/>
              <w:rPr>
                <w:color w:val="auto"/>
              </w:rPr>
            </w:pPr>
            <w:r>
              <w:rPr>
                <w:color w:val="auto"/>
              </w:rPr>
              <w:t xml:space="preserve">Кияк Т. Р., Науменко А. М., Огуй О. Д. Теорія і практика перекладу: німецька мова. – Вінниця : Нова Книга, 2006. </w:t>
            </w:r>
          </w:p>
          <w:p>
            <w:pPr>
              <w:pStyle w:val="19"/>
              <w:numPr>
                <w:ilvl w:val="0"/>
                <w:numId w:val="1"/>
              </w:numPr>
              <w:spacing w:after="23"/>
              <w:ind w:left="235" w:hanging="235"/>
              <w:jc w:val="both"/>
              <w:rPr>
                <w:color w:val="auto"/>
              </w:rPr>
            </w:pPr>
            <w:r>
              <w:rPr>
                <w:color w:val="auto"/>
              </w:rPr>
              <w:t>Кучер З. І., Орлова М. О., Редчиць Т. В. Практика перекладу (німецька мова): навч. посібник для студ. 2-ге вид. – Вінниця : Нова Книга, 2017.</w:t>
            </w:r>
          </w:p>
          <w:p>
            <w:pPr>
              <w:pStyle w:val="19"/>
              <w:numPr>
                <w:ilvl w:val="0"/>
                <w:numId w:val="1"/>
              </w:numPr>
              <w:spacing w:after="23"/>
              <w:ind w:left="235" w:hanging="235"/>
              <w:jc w:val="both"/>
              <w:rPr>
                <w:color w:val="auto"/>
              </w:rPr>
            </w:pPr>
            <w:r>
              <w:rPr>
                <w:color w:val="auto"/>
              </w:rPr>
              <w:t>Кучер З. І., Орлова М. О., Ліпісівіцький М.Л.Галузевий переклад (німецька мова): навч. посібник. – Вінниця : Нова Книга, 2018.</w:t>
            </w:r>
          </w:p>
          <w:p>
            <w:pPr>
              <w:pStyle w:val="19"/>
              <w:numPr>
                <w:ilvl w:val="0"/>
                <w:numId w:val="1"/>
              </w:numPr>
              <w:spacing w:after="23"/>
              <w:ind w:left="235" w:hanging="235"/>
              <w:jc w:val="both"/>
              <w:rPr>
                <w:color w:val="auto"/>
              </w:rPr>
            </w:pPr>
            <w:r>
              <w:rPr>
                <w:color w:val="auto"/>
              </w:rPr>
              <w:t>Хоменко Л. О., Антонюк Н. М. Німецька мова: практику з перекладу для юристів. – Вінниця : Нова Книга, 2014.</w:t>
            </w:r>
          </w:p>
          <w:p>
            <w:pPr>
              <w:pStyle w:val="19"/>
              <w:spacing w:after="23"/>
              <w:ind w:left="14"/>
              <w:jc w:val="both"/>
              <w:rPr>
                <w:color w:val="auto"/>
              </w:rPr>
            </w:pP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9"/>
              <w:numPr>
                <w:ilvl w:val="0"/>
                <w:numId w:val="2"/>
              </w:numPr>
              <w:spacing w:after="23"/>
              <w:ind w:left="235" w:hanging="235"/>
              <w:jc w:val="both"/>
              <w:rPr>
                <w:color w:val="auto"/>
              </w:rPr>
            </w:pPr>
            <w:r>
              <w:rPr>
                <w:color w:val="auto"/>
              </w:rPr>
              <w:t>Міщенко Л. А. Посібник з художнього перекладу до курсу «Теорія і практика перекладу». – Вінниця : Нова Книга, 2003.</w:t>
            </w:r>
          </w:p>
          <w:p>
            <w:pPr>
              <w:pStyle w:val="19"/>
              <w:numPr>
                <w:ilvl w:val="0"/>
                <w:numId w:val="2"/>
              </w:numPr>
              <w:spacing w:after="23"/>
              <w:ind w:left="235" w:hanging="235"/>
              <w:jc w:val="both"/>
              <w:rPr>
                <w:color w:val="auto"/>
              </w:rPr>
            </w:pPr>
            <w:r>
              <w:rPr>
                <w:color w:val="auto"/>
              </w:rPr>
              <w:t>Міщенко А. Л. Лінгвістика фахових мов та сучасна модель науково-технічного перекладу. – Вінниця : Нова Книга, 2013.</w:t>
            </w:r>
          </w:p>
          <w:p>
            <w:pPr>
              <w:pStyle w:val="19"/>
              <w:numPr>
                <w:ilvl w:val="0"/>
                <w:numId w:val="2"/>
              </w:numPr>
              <w:spacing w:after="23"/>
              <w:ind w:left="235" w:hanging="235"/>
              <w:jc w:val="both"/>
              <w:rPr>
                <w:color w:val="auto"/>
              </w:rPr>
            </w:pPr>
            <w:r>
              <w:rPr>
                <w:color w:val="auto"/>
              </w:rPr>
              <w:t xml:space="preserve">Прищепа В. Є., Прищепа В. П. Відомі, маловідомі та невідомі німецькі автори. Книга для читання німецькою мовою. – Вінниця : Нова Книга, 2007. </w:t>
            </w:r>
          </w:p>
          <w:p>
            <w:pPr>
              <w:pStyle w:val="19"/>
              <w:numPr>
                <w:ilvl w:val="0"/>
                <w:numId w:val="2"/>
              </w:numPr>
              <w:spacing w:after="23"/>
              <w:ind w:left="235" w:hanging="235"/>
              <w:jc w:val="both"/>
              <w:rPr>
                <w:color w:val="auto"/>
              </w:rPr>
            </w:pPr>
            <w:r>
              <w:rPr>
                <w:color w:val="auto"/>
              </w:rPr>
              <w:t xml:space="preserve">Німецько-український фразеологічний словник у 2-х томах. / Укл. Гаврись І., Пророченко О. – Київ : Рад. Школа, 1981. </w:t>
            </w:r>
          </w:p>
          <w:p>
            <w:pPr>
              <w:pStyle w:val="19"/>
              <w:numPr>
                <w:ilvl w:val="0"/>
                <w:numId w:val="2"/>
              </w:numPr>
              <w:spacing w:after="23"/>
              <w:ind w:left="235" w:hanging="235"/>
              <w:jc w:val="both"/>
              <w:rPr>
                <w:color w:val="auto"/>
              </w:rPr>
            </w:pPr>
            <w:r>
              <w:rPr>
                <w:color w:val="auto"/>
              </w:rPr>
              <w:t>Газети «</w:t>
            </w:r>
            <w:r>
              <w:rPr>
                <w:color w:val="auto"/>
                <w:lang w:val="de-DE"/>
              </w:rPr>
              <w:t>Österreich Spiegel</w:t>
            </w:r>
            <w:r>
              <w:rPr>
                <w:color w:val="auto"/>
              </w:rPr>
              <w:t>»</w:t>
            </w:r>
            <w:r>
              <w:rPr>
                <w:color w:val="auto"/>
                <w:lang w:val="de-DE"/>
              </w:rPr>
              <w:t xml:space="preserve">, </w:t>
            </w:r>
            <w:r>
              <w:rPr>
                <w:color w:val="auto"/>
              </w:rPr>
              <w:t>«</w:t>
            </w:r>
            <w:r>
              <w:rPr>
                <w:color w:val="auto"/>
                <w:lang w:val="de-DE"/>
              </w:rPr>
              <w:t>Sprachnachrichten</w:t>
            </w:r>
            <w:r>
              <w:rPr>
                <w:color w:val="auto"/>
              </w:rPr>
              <w:t>»</w:t>
            </w:r>
            <w:r>
              <w:rPr>
                <w:color w:val="auto"/>
                <w:lang w:val="de-DE"/>
              </w:rPr>
              <w:t xml:space="preserve">, </w:t>
            </w:r>
            <w:r>
              <w:rPr>
                <w:color w:val="auto"/>
              </w:rPr>
              <w:t>«</w:t>
            </w:r>
            <w:r>
              <w:rPr>
                <w:color w:val="auto"/>
                <w:lang w:val="de-DE"/>
              </w:rPr>
              <w:t>Tageszeitung</w:t>
            </w:r>
            <w:r>
              <w:rPr>
                <w:color w:val="auto"/>
              </w:rPr>
              <w:t>»</w:t>
            </w:r>
          </w:p>
          <w:p>
            <w:pPr>
              <w:spacing w:after="0" w:line="240" w:lineRule="auto"/>
              <w:ind w:left="374"/>
              <w:jc w:val="both"/>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4"/>
              <w:numPr>
                <w:ilvl w:val="0"/>
                <w:numId w:val="3"/>
              </w:numPr>
              <w:spacing w:after="200" w:line="276" w:lineRule="auto"/>
              <w:ind w:left="357" w:hanging="379"/>
              <w:jc w:val="both"/>
              <w:rPr>
                <w:rStyle w:val="9"/>
                <w:rFonts w:ascii="Times New Roman" w:hAnsi="Times New Roman" w:cs="Times New Roman"/>
                <w:bCs/>
                <w:color w:val="auto"/>
                <w:spacing w:val="-6"/>
                <w:sz w:val="24"/>
                <w:szCs w:val="24"/>
                <w:u w:val="none"/>
              </w:rPr>
            </w:pPr>
            <w:r>
              <w:fldChar w:fldCharType="begin"/>
            </w:r>
            <w:r>
              <w:instrText xml:space="preserve"> HYPERLINK "https://www.spiegel.de" </w:instrText>
            </w:r>
            <w:r>
              <w:fldChar w:fldCharType="separate"/>
            </w:r>
            <w:r>
              <w:rPr>
                <w:rStyle w:val="9"/>
                <w:rFonts w:ascii="Times New Roman" w:hAnsi="Times New Roman" w:cs="Times New Roman"/>
                <w:color w:val="auto"/>
                <w:sz w:val="24"/>
                <w:szCs w:val="24"/>
              </w:rPr>
              <w:t>https://www.spiegel.de</w:t>
            </w:r>
            <w:r>
              <w:rPr>
                <w:rStyle w:val="9"/>
                <w:rFonts w:ascii="Times New Roman" w:hAnsi="Times New Roman" w:cs="Times New Roman"/>
                <w:color w:val="auto"/>
                <w:sz w:val="24"/>
                <w:szCs w:val="24"/>
              </w:rPr>
              <w:fldChar w:fldCharType="end"/>
            </w:r>
          </w:p>
          <w:p>
            <w:pPr>
              <w:pStyle w:val="14"/>
              <w:numPr>
                <w:ilvl w:val="0"/>
                <w:numId w:val="3"/>
              </w:numPr>
              <w:spacing w:after="200" w:line="276" w:lineRule="auto"/>
              <w:ind w:left="357" w:hanging="379"/>
              <w:jc w:val="both"/>
              <w:rPr>
                <w:rStyle w:val="9"/>
                <w:rFonts w:ascii="Times New Roman" w:hAnsi="Times New Roman" w:cs="Times New Roman"/>
                <w:bCs/>
                <w:color w:val="auto"/>
                <w:spacing w:val="-6"/>
                <w:sz w:val="24"/>
                <w:szCs w:val="24"/>
                <w:u w:val="none"/>
              </w:rPr>
            </w:pPr>
            <w:r>
              <w:fldChar w:fldCharType="begin"/>
            </w:r>
            <w:r>
              <w:instrText xml:space="preserve"> HYPERLINK "http://www.beipackzettel.de/" </w:instrText>
            </w:r>
            <w:r>
              <w:fldChar w:fldCharType="separate"/>
            </w:r>
            <w:r>
              <w:rPr>
                <w:rStyle w:val="9"/>
                <w:rFonts w:ascii="Times New Roman" w:hAnsi="Times New Roman" w:cs="Times New Roman"/>
                <w:color w:val="auto"/>
                <w:sz w:val="24"/>
                <w:szCs w:val="24"/>
              </w:rPr>
              <w:t>http://www.beipackzettel.de/</w:t>
            </w:r>
            <w:r>
              <w:rPr>
                <w:rStyle w:val="9"/>
                <w:rFonts w:ascii="Times New Roman" w:hAnsi="Times New Roman" w:cs="Times New Roman"/>
                <w:color w:val="auto"/>
                <w:sz w:val="24"/>
                <w:szCs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szCs w:val="24"/>
              </w:rPr>
            </w:pPr>
            <w:r>
              <w:fldChar w:fldCharType="begin"/>
            </w:r>
            <w:r>
              <w:instrText xml:space="preserve"> HYPERLINK "https://www.projekt-gutenberg.org" </w:instrText>
            </w:r>
            <w:r>
              <w:fldChar w:fldCharType="separate"/>
            </w:r>
            <w:r>
              <w:rPr>
                <w:rStyle w:val="9"/>
                <w:rFonts w:ascii="Times New Roman" w:hAnsi="Times New Roman" w:cs="Times New Roman"/>
                <w:bCs/>
                <w:color w:val="auto"/>
                <w:spacing w:val="-6"/>
                <w:sz w:val="24"/>
                <w:szCs w:val="24"/>
              </w:rPr>
              <w:t>https://www.projekt-gutenberg.org</w:t>
            </w:r>
            <w:r>
              <w:rPr>
                <w:rStyle w:val="9"/>
                <w:rFonts w:ascii="Times New Roman" w:hAnsi="Times New Roman" w:cs="Times New Roman"/>
                <w:bCs/>
                <w:color w:val="auto"/>
                <w:spacing w:val="-6"/>
                <w:sz w:val="24"/>
                <w:szCs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szCs w:val="24"/>
              </w:rPr>
            </w:pPr>
            <w:r>
              <w:fldChar w:fldCharType="begin"/>
            </w:r>
            <w:r>
              <w:instrText xml:space="preserve"> HYPERLINK "https://www.gesetze-im-internet.de/bgb/BGB.pdf" </w:instrText>
            </w:r>
            <w:r>
              <w:fldChar w:fldCharType="separate"/>
            </w:r>
            <w:r>
              <w:rPr>
                <w:rStyle w:val="9"/>
                <w:rFonts w:ascii="Times New Roman" w:hAnsi="Times New Roman" w:cs="Times New Roman"/>
                <w:bCs/>
                <w:color w:val="auto"/>
                <w:spacing w:val="-6"/>
                <w:sz w:val="24"/>
                <w:szCs w:val="24"/>
              </w:rPr>
              <w:t>https://www.gesetze-im-internet.de/bgb/BGB.pdf</w:t>
            </w:r>
            <w:r>
              <w:rPr>
                <w:rStyle w:val="9"/>
                <w:rFonts w:ascii="Times New Roman" w:hAnsi="Times New Roman" w:cs="Times New Roman"/>
                <w:bCs/>
                <w:color w:val="auto"/>
                <w:spacing w:val="-6"/>
                <w:sz w:val="24"/>
                <w:szCs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"https://www.dw.com/de" </w:instrText>
            </w:r>
            <w:r>
              <w:fldChar w:fldCharType="separate"/>
            </w:r>
            <w:r>
              <w:rPr>
                <w:rStyle w:val="9"/>
                <w:rFonts w:ascii="Times New Roman" w:hAnsi="Times New Roman" w:cs="Times New Roman"/>
                <w:bCs/>
                <w:color w:val="auto"/>
                <w:spacing w:val="-6"/>
                <w:sz w:val="24"/>
                <w:szCs w:val="24"/>
              </w:rPr>
              <w:t>https://www.dw.com/de</w:t>
            </w:r>
            <w:r>
              <w:rPr>
                <w:rStyle w:val="9"/>
                <w:rFonts w:ascii="Times New Roman" w:hAnsi="Times New Roman" w:cs="Times New Roman"/>
                <w:bCs/>
                <w:color w:val="auto"/>
                <w:spacing w:val="-6"/>
                <w:sz w:val="24"/>
                <w:szCs w:val="24"/>
              </w:rPr>
              <w:fldChar w:fldCharType="end"/>
            </w:r>
            <w:r>
              <w:rPr>
                <w:rFonts w:ascii="Times New Roman" w:hAnsi="Times New Roman" w:cs="Times New Roman"/>
                <w:bCs/>
                <w:spacing w:val="-6"/>
                <w:sz w:val="24"/>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"https://www.planet-wissen.de/index.html" </w:instrText>
            </w:r>
            <w:r>
              <w:fldChar w:fldCharType="separate"/>
            </w:r>
            <w:r>
              <w:rPr>
                <w:rStyle w:val="9"/>
                <w:rFonts w:ascii="Times New Roman" w:hAnsi="Times New Roman" w:cs="Times New Roman"/>
                <w:bCs/>
                <w:color w:val="auto"/>
                <w:spacing w:val="-6"/>
                <w:sz w:val="24"/>
              </w:rPr>
              <w:t>https://www.planet-wissen.de/index.html</w:t>
            </w:r>
            <w:r>
              <w:rPr>
                <w:rStyle w:val="9"/>
                <w:rFonts w:ascii="Times New Roman" w:hAnsi="Times New Roman" w:cs="Times New Roman"/>
                <w:bCs/>
                <w:color w:val="auto"/>
                <w:spacing w:val="-6"/>
                <w:sz w:val="24"/>
              </w:rPr>
              <w:fldChar w:fldCharType="end"/>
            </w:r>
            <w:r>
              <w:rPr>
                <w:rFonts w:ascii="Times New Roman" w:hAnsi="Times New Roman" w:cs="Times New Roman"/>
                <w:bCs/>
                <w:spacing w:val="-6"/>
                <w:sz w:val="24"/>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"https://europa.eu/european-union/about-eu/countries_de" </w:instrText>
            </w:r>
            <w:r>
              <w:fldChar w:fldCharType="separate"/>
            </w:r>
            <w:r>
              <w:rPr>
                <w:rStyle w:val="9"/>
                <w:rFonts w:ascii="Times New Roman" w:hAnsi="Times New Roman" w:cs="Times New Roman"/>
                <w:bCs/>
                <w:color w:val="auto"/>
                <w:spacing w:val="-6"/>
                <w:sz w:val="24"/>
              </w:rPr>
              <w:t>https://europa.eu/european-union/about-eu/countries_de</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"https://www.duden.de" </w:instrText>
            </w:r>
            <w:r>
              <w:fldChar w:fldCharType="separate"/>
            </w:r>
            <w:r>
              <w:rPr>
                <w:rStyle w:val="9"/>
                <w:rFonts w:ascii="Times New Roman" w:hAnsi="Times New Roman" w:cs="Times New Roman"/>
                <w:bCs/>
                <w:color w:val="auto"/>
                <w:spacing w:val="-6"/>
                <w:sz w:val="24"/>
              </w:rPr>
              <w:t>https://www.</w:t>
            </w:r>
            <w:r>
              <w:rPr>
                <w:rStyle w:val="9"/>
                <w:rFonts w:ascii="Times New Roman" w:hAnsi="Times New Roman" w:cs="Times New Roman"/>
                <w:bCs/>
                <w:color w:val="auto"/>
                <w:spacing w:val="-6"/>
                <w:sz w:val="24"/>
                <w:lang w:val="en-US"/>
              </w:rPr>
              <w:t>duden.de</w:t>
            </w:r>
            <w:r>
              <w:rPr>
                <w:rStyle w:val="9"/>
                <w:rFonts w:ascii="Times New Roman" w:hAnsi="Times New Roman" w:cs="Times New Roman"/>
                <w:bCs/>
                <w:color w:val="auto"/>
                <w:spacing w:val="-6"/>
                <w:sz w:val="24"/>
                <w:lang w:val="en-US"/>
              </w:rPr>
              <w:fldChar w:fldCharType="end"/>
            </w:r>
            <w:r>
              <w:rPr>
                <w:rFonts w:ascii="Times New Roman" w:hAnsi="Times New Roman" w:cs="Times New Roman"/>
                <w:bCs/>
                <w:spacing w:val="-6"/>
                <w:sz w:val="24"/>
                <w:lang w:val="en-US"/>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rPr>
            </w:pPr>
            <w:r>
              <w:fldChar w:fldCharType="begin"/>
            </w:r>
            <w:r>
              <w:instrText xml:space="preserve"> HYPERLINK "https://www.pons.de" </w:instrText>
            </w:r>
            <w:r>
              <w:fldChar w:fldCharType="separate"/>
            </w:r>
            <w:r>
              <w:rPr>
                <w:rStyle w:val="9"/>
                <w:rFonts w:ascii="Times New Roman" w:hAnsi="Times New Roman" w:cs="Times New Roman"/>
                <w:bCs/>
                <w:color w:val="auto"/>
                <w:spacing w:val="-6"/>
                <w:sz w:val="24"/>
                <w:lang w:val="en-US"/>
              </w:rPr>
              <w:t>https://www.pons.de</w:t>
            </w:r>
            <w:r>
              <w:rPr>
                <w:rStyle w:val="9"/>
                <w:rFonts w:ascii="Times New Roman" w:hAnsi="Times New Roman" w:cs="Times New Roman"/>
                <w:bCs/>
                <w:color w:val="auto"/>
                <w:spacing w:val="-6"/>
                <w:sz w:val="24"/>
                <w:lang w:val="en-US"/>
              </w:rPr>
              <w:fldChar w:fldCharType="end"/>
            </w:r>
            <w:r>
              <w:rPr>
                <w:rFonts w:ascii="Times New Roman" w:hAnsi="Times New Roman" w:cs="Times New Roman"/>
                <w:bCs/>
                <w:spacing w:val="-6"/>
                <w:sz w:val="24"/>
                <w:lang w:val="en-US"/>
              </w:rPr>
              <w:t xml:space="preserve"> </w:t>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"https://www.redensarten-index.de" </w:instrText>
            </w:r>
            <w:r>
              <w:fldChar w:fldCharType="separate"/>
            </w:r>
            <w:r>
              <w:rPr>
                <w:rStyle w:val="9"/>
                <w:rFonts w:ascii="Times New Roman" w:hAnsi="Times New Roman" w:cs="Times New Roman"/>
                <w:bCs/>
                <w:color w:val="auto"/>
                <w:spacing w:val="-6"/>
                <w:sz w:val="24"/>
                <w:lang w:val="en-US"/>
              </w:rPr>
              <w:t>https</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www</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redensarten</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index</w:t>
            </w:r>
            <w:r>
              <w:rPr>
                <w:rStyle w:val="9"/>
                <w:rFonts w:ascii="Times New Roman" w:hAnsi="Times New Roman" w:cs="Times New Roman"/>
                <w:bCs/>
                <w:color w:val="auto"/>
                <w:spacing w:val="-6"/>
                <w:sz w:val="24"/>
              </w:rPr>
              <w:t>.</w:t>
            </w:r>
            <w:r>
              <w:rPr>
                <w:rStyle w:val="9"/>
                <w:rFonts w:ascii="Times New Roman" w:hAnsi="Times New Roman" w:cs="Times New Roman"/>
                <w:bCs/>
                <w:color w:val="auto"/>
                <w:spacing w:val="-6"/>
                <w:sz w:val="24"/>
                <w:lang w:val="en-US"/>
              </w:rPr>
              <w:t>de</w:t>
            </w:r>
            <w:r>
              <w:rPr>
                <w:rStyle w:val="9"/>
                <w:rFonts w:ascii="Times New Roman" w:hAnsi="Times New Roman" w:cs="Times New Roman"/>
                <w:bCs/>
                <w:color w:val="auto"/>
                <w:spacing w:val="-6"/>
                <w:sz w:val="24"/>
                <w:lang w:val="en-US"/>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"https://www.synonyme.de/" </w:instrText>
            </w:r>
            <w:r>
              <w:fldChar w:fldCharType="separate"/>
            </w:r>
            <w:r>
              <w:rPr>
                <w:rStyle w:val="9"/>
                <w:rFonts w:ascii="Times New Roman" w:hAnsi="Times New Roman" w:cs="Times New Roman"/>
                <w:bCs/>
                <w:color w:val="auto"/>
                <w:spacing w:val="-6"/>
                <w:sz w:val="24"/>
              </w:rPr>
              <w:t>https://www.synonyme.de/</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"http://sum.in.ua/" </w:instrText>
            </w:r>
            <w:r>
              <w:fldChar w:fldCharType="separate"/>
            </w:r>
            <w:r>
              <w:rPr>
                <w:rStyle w:val="9"/>
                <w:rFonts w:ascii="Times New Roman" w:hAnsi="Times New Roman" w:cs="Times New Roman"/>
                <w:bCs/>
                <w:color w:val="auto"/>
                <w:spacing w:val="-6"/>
                <w:sz w:val="24"/>
              </w:rPr>
              <w:t>http://sum.in.ua/</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"https://www.faz.net/aktuell/" </w:instrText>
            </w:r>
            <w:r>
              <w:fldChar w:fldCharType="separate"/>
            </w:r>
            <w:r>
              <w:rPr>
                <w:rStyle w:val="9"/>
                <w:rFonts w:ascii="Times New Roman" w:hAnsi="Times New Roman" w:cs="Times New Roman"/>
                <w:bCs/>
                <w:color w:val="auto"/>
                <w:spacing w:val="-6"/>
                <w:sz w:val="24"/>
              </w:rPr>
              <w:t>https://www.faz.net/aktuell/</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"https://www.prosieben.de/tv/galileo/videos" </w:instrText>
            </w:r>
            <w:r>
              <w:fldChar w:fldCharType="separate"/>
            </w:r>
            <w:r>
              <w:rPr>
                <w:rStyle w:val="9"/>
                <w:rFonts w:ascii="Times New Roman" w:hAnsi="Times New Roman" w:cs="Times New Roman"/>
                <w:bCs/>
                <w:color w:val="auto"/>
                <w:spacing w:val="-6"/>
                <w:sz w:val="24"/>
              </w:rPr>
              <w:t>https://www.prosieben.de/tv/galileo/videos</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"https://rexgjcammie.firebaseapp.com/deutsches-militarlexikon.html" </w:instrText>
            </w:r>
            <w:r>
              <w:fldChar w:fldCharType="separate"/>
            </w:r>
            <w:r>
              <w:rPr>
                <w:rStyle w:val="9"/>
                <w:rFonts w:ascii="Times New Roman" w:hAnsi="Times New Roman" w:cs="Times New Roman"/>
                <w:bCs/>
                <w:color w:val="auto"/>
                <w:spacing w:val="-6"/>
                <w:sz w:val="24"/>
              </w:rPr>
              <w:t>https://rexgjcammie.firebaseapp.com/deutsches-militarlexikon.html</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"https://ukraine-nachrichten.de/" </w:instrText>
            </w:r>
            <w:r>
              <w:fldChar w:fldCharType="separate"/>
            </w:r>
            <w:r>
              <w:rPr>
                <w:rStyle w:val="9"/>
                <w:rFonts w:ascii="Times New Roman" w:hAnsi="Times New Roman" w:cs="Times New Roman"/>
                <w:bCs/>
                <w:color w:val="auto"/>
                <w:spacing w:val="-6"/>
                <w:sz w:val="24"/>
              </w:rPr>
              <w:t>https://ukraine-nachrichten.de/</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"http://lexikon.vitanet.de/lexikon" </w:instrText>
            </w:r>
            <w:r>
              <w:fldChar w:fldCharType="separate"/>
            </w:r>
            <w:r>
              <w:rPr>
                <w:rStyle w:val="9"/>
                <w:rFonts w:ascii="Times New Roman" w:hAnsi="Times New Roman" w:cs="Times New Roman"/>
                <w:bCs/>
                <w:color w:val="auto"/>
                <w:spacing w:val="-6"/>
                <w:sz w:val="24"/>
              </w:rPr>
              <w:t>http://lexikon.vitanet.de/lexikon</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"https://www.sowi-online.de/praxis/methode/politische_rede.html" </w:instrText>
            </w:r>
            <w:r>
              <w:fldChar w:fldCharType="separate"/>
            </w:r>
            <w:r>
              <w:rPr>
                <w:rStyle w:val="9"/>
                <w:rFonts w:ascii="Times New Roman" w:hAnsi="Times New Roman" w:cs="Times New Roman"/>
                <w:bCs/>
                <w:color w:val="auto"/>
                <w:spacing w:val="-6"/>
                <w:sz w:val="24"/>
              </w:rPr>
              <w:t>https://www.sowi-online.de/praxis/methode/politische_rede.html</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"https://www.finanzen100.de/top100/die-grossten-borsennotierten-unternehmen-deutschlands/" </w:instrText>
            </w:r>
            <w:r>
              <w:fldChar w:fldCharType="separate"/>
            </w:r>
            <w:r>
              <w:rPr>
                <w:rStyle w:val="9"/>
                <w:rFonts w:ascii="Times New Roman" w:hAnsi="Times New Roman" w:cs="Times New Roman"/>
                <w:bCs/>
                <w:color w:val="auto"/>
                <w:spacing w:val="-6"/>
                <w:sz w:val="24"/>
              </w:rPr>
              <w:t>https://www.finanzen100.de/top100/die-grossten-borsennotierten-unternehmen-deutschlands/</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"http://www.vakki.net/publications/2012/VAKKI2012_Viljanmaa.pdf" </w:instrText>
            </w:r>
            <w:r>
              <w:fldChar w:fldCharType="separate"/>
            </w:r>
            <w:r>
              <w:rPr>
                <w:rStyle w:val="9"/>
                <w:rFonts w:ascii="Times New Roman" w:hAnsi="Times New Roman" w:cs="Times New Roman"/>
                <w:bCs/>
                <w:color w:val="auto"/>
                <w:spacing w:val="-6"/>
                <w:sz w:val="24"/>
              </w:rPr>
              <w:t>http://www.vakki.net/publications/2012/VAKKI2012_Viljanmaa.pdf</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fldChar w:fldCharType="begin"/>
            </w:r>
            <w:r>
              <w:instrText xml:space="preserve"> HYPERLINK "http://zfs-journal.uzhnu.uz.ua/archive/10/part_2/11.pdf" </w:instrText>
            </w:r>
            <w:r>
              <w:fldChar w:fldCharType="separate"/>
            </w:r>
            <w:r>
              <w:rPr>
                <w:rStyle w:val="9"/>
                <w:rFonts w:ascii="Times New Roman" w:hAnsi="Times New Roman" w:cs="Times New Roman"/>
                <w:bCs/>
                <w:color w:val="auto"/>
                <w:spacing w:val="-6"/>
                <w:sz w:val="24"/>
              </w:rPr>
              <w:t>http://zfs-journal.uzhnu.uz.ua/archive/10/part_2/11.pdf</w:t>
            </w:r>
            <w:r>
              <w:rPr>
                <w:rStyle w:val="9"/>
                <w:rFonts w:ascii="Times New Roman" w:hAnsi="Times New Roman" w:cs="Times New Roman"/>
                <w:bCs/>
                <w:color w:val="auto"/>
                <w:spacing w:val="-6"/>
                <w:sz w:val="24"/>
              </w:rPr>
              <w:fldChar w:fldCharType="end"/>
            </w:r>
          </w:p>
          <w:p>
            <w:pPr>
              <w:pStyle w:val="14"/>
              <w:numPr>
                <w:ilvl w:val="0"/>
                <w:numId w:val="3"/>
              </w:numPr>
              <w:spacing w:after="200" w:line="276" w:lineRule="auto"/>
              <w:ind w:left="357" w:hanging="379"/>
              <w:jc w:val="both"/>
              <w:rPr>
                <w:rFonts w:ascii="Times New Roman" w:hAnsi="Times New Roman" w:cs="Times New Roman"/>
                <w:bCs/>
                <w:spacing w:val="-6"/>
                <w:sz w:val="24"/>
                <w:u w:val="single"/>
              </w:rPr>
            </w:pPr>
            <w:r>
              <w:rPr>
                <w:rFonts w:ascii="Times New Roman" w:hAnsi="Times New Roman" w:cs="Times New Roman"/>
                <w:bCs/>
                <w:spacing w:val="-6"/>
                <w:sz w:val="24"/>
                <w:u w:val="single"/>
              </w:rPr>
              <w:t>https://justiz.thueringen.de/fileadmin/TMMJV/Service/publikationen/Besuch-einer-Gerichtsverhandlung_web.pd</w:t>
            </w:r>
            <w:r>
              <w:rPr>
                <w:rFonts w:ascii="Times New Roman" w:hAnsi="Times New Roman" w:cs="Times New Roman"/>
                <w:bCs/>
                <w:spacing w:val="-6"/>
                <w:sz w:val="24"/>
                <w:u w:val="single"/>
                <w:lang w:val="en-US"/>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семестри (7, 8), 120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120.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години практичних занять (з них 64 у першому семестрі та 40 у другому). 16 годин самостійної роботи (з них 11 у першому семестрі та 5 у другому).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8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3"/>
                <w:numId w:val="4"/>
              </w:numPr>
              <w:tabs>
                <w:tab w:val="left" w:pos="284"/>
                <w:tab w:val="left" w:pos="567"/>
              </w:tabs>
              <w:spacing w:after="0" w:line="240" w:lineRule="auto"/>
              <w:ind w:left="284" w:hanging="284"/>
              <w:jc w:val="both"/>
              <w:rPr>
                <w:rFonts w:ascii="Times New Roman" w:hAnsi="Times New Roman" w:cs="Times New Roman"/>
                <w:sz w:val="24"/>
                <w:szCs w:val="28"/>
              </w:rPr>
            </w:pPr>
            <w:r>
              <w:rPr>
                <w:rFonts w:ascii="Times New Roman" w:hAnsi="Times New Roman" w:cs="Times New Roman"/>
                <w:sz w:val="24"/>
                <w:szCs w:val="28"/>
              </w:rPr>
              <w:t>визначення усного перекладу, його структурних відмінностей від інших форм перекладу;</w:t>
            </w:r>
          </w:p>
          <w:p>
            <w:pPr>
              <w:numPr>
                <w:ilvl w:val="3"/>
                <w:numId w:val="4"/>
              </w:numPr>
              <w:tabs>
                <w:tab w:val="left" w:pos="284"/>
                <w:tab w:val="left" w:pos="567"/>
              </w:tabs>
              <w:spacing w:after="0" w:line="240" w:lineRule="auto"/>
              <w:ind w:left="284" w:hanging="284"/>
              <w:jc w:val="both"/>
              <w:rPr>
                <w:rFonts w:ascii="Times New Roman" w:hAnsi="Times New Roman" w:cs="Times New Roman"/>
                <w:sz w:val="24"/>
                <w:szCs w:val="28"/>
              </w:rPr>
            </w:pPr>
            <w:r>
              <w:rPr>
                <w:rFonts w:ascii="Times New Roman" w:hAnsi="Times New Roman" w:cs="Times New Roman"/>
                <w:sz w:val="24"/>
                <w:szCs w:val="28"/>
              </w:rPr>
              <w:t>визначення письмового перекладу, його структурних відмінностей від інших форм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типи еквівалентності;</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прагматичні аспекти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головні типи перекладацьких відповідників;</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шляхи досягнення перекладацької еквівалентності;</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лексичні та граматичні проблеми перекладу;</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комунікативне навантаження членів речення;</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засоби вираження комунікативного завдання;</w:t>
            </w:r>
          </w:p>
          <w:p>
            <w:pPr>
              <w:numPr>
                <w:ilvl w:val="3"/>
                <w:numId w:val="4"/>
              </w:numPr>
              <w:tabs>
                <w:tab w:val="left" w:pos="284"/>
                <w:tab w:val="left" w:pos="567"/>
              </w:tabs>
              <w:spacing w:after="0" w:line="240" w:lineRule="auto"/>
              <w:ind w:left="284" w:hanging="284"/>
              <w:jc w:val="both"/>
              <w:rPr>
                <w:szCs w:val="28"/>
              </w:rPr>
            </w:pPr>
            <w:r>
              <w:rPr>
                <w:rFonts w:ascii="Times New Roman" w:hAnsi="Times New Roman" w:eastAsia="Times New Roman" w:cs="Times New Roman"/>
                <w:sz w:val="24"/>
                <w:szCs w:val="24"/>
              </w:rPr>
              <w:t>типи речень та методи їх перекладу;</w:t>
            </w:r>
          </w:p>
          <w:p>
            <w:pPr>
              <w:numPr>
                <w:ilvl w:val="3"/>
                <w:numId w:val="4"/>
              </w:numPr>
              <w:tabs>
                <w:tab w:val="left" w:pos="284"/>
                <w:tab w:val="left" w:pos="591"/>
              </w:tabs>
              <w:spacing w:after="0" w:line="240" w:lineRule="auto"/>
              <w:ind w:left="284" w:hanging="284"/>
              <w:jc w:val="both"/>
              <w:rPr>
                <w:szCs w:val="28"/>
              </w:rPr>
            </w:pPr>
            <w:r>
              <w:rPr>
                <w:rFonts w:ascii="Times New Roman" w:hAnsi="Times New Roman" w:eastAsia="Times New Roman" w:cs="Times New Roman"/>
                <w:sz w:val="24"/>
                <w:szCs w:val="24"/>
              </w:rPr>
              <w:t>категорії дієслова та засоби їх перекладу;</w:t>
            </w:r>
          </w:p>
          <w:p>
            <w:pPr>
              <w:numPr>
                <w:ilvl w:val="3"/>
                <w:numId w:val="4"/>
              </w:numPr>
              <w:tabs>
                <w:tab w:val="left" w:pos="284"/>
                <w:tab w:val="left" w:pos="591"/>
              </w:tabs>
              <w:spacing w:after="0" w:line="240" w:lineRule="auto"/>
              <w:ind w:left="284" w:hanging="284"/>
              <w:jc w:val="both"/>
              <w:rPr>
                <w:szCs w:val="28"/>
              </w:rPr>
            </w:pPr>
            <w:r>
              <w:rPr>
                <w:rFonts w:ascii="Times New Roman" w:hAnsi="Times New Roman" w:eastAsia="Times New Roman" w:cs="Times New Roman"/>
                <w:sz w:val="24"/>
                <w:szCs w:val="24"/>
              </w:rPr>
              <w:t>категорії іменника та засоби їх перекладу</w:t>
            </w:r>
            <w:r>
              <w:rPr>
                <w:rFonts w:ascii="Times New Roman" w:hAnsi="Times New Roman" w:cs="Times New Roman"/>
                <w:sz w:val="24"/>
                <w:szCs w:val="24"/>
              </w:rPr>
              <w:t>.</w:t>
            </w:r>
          </w:p>
          <w:p>
            <w:pPr>
              <w:tabs>
                <w:tab w:val="left" w:pos="284"/>
                <w:tab w:val="left" w:pos="591"/>
              </w:tabs>
              <w:spacing w:after="0" w:line="240" w:lineRule="auto"/>
              <w:ind w:left="284"/>
              <w:jc w:val="both"/>
              <w:rPr>
                <w:szCs w:val="28"/>
              </w:rPr>
            </w:pP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xml:space="preserve">: </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застосовувати принципи, технології і прийоми створення усних і письмових текстів різних жанрів і стилів українською та іноземною мовами;</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визначити жанрово-стильову домінанту та головну функцію тексту;</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визначати одиницю перекладу та підбирати матеріал цільової мови у відповідності до мети, функції та з урахуванням особливостей цільового адресата;</w:t>
            </w:r>
          </w:p>
          <w:p>
            <w:pPr>
              <w:pStyle w:val="14"/>
              <w:numPr>
                <w:ilvl w:val="0"/>
                <w:numId w:val="5"/>
              </w:numPr>
              <w:spacing w:after="0" w:line="240" w:lineRule="auto"/>
              <w:ind w:left="284" w:hanging="284"/>
              <w:jc w:val="both"/>
              <w:rPr>
                <w:rFonts w:ascii="Times New Roman" w:hAnsi="Times New Roman"/>
                <w:sz w:val="24"/>
                <w:szCs w:val="24"/>
              </w:rPr>
            </w:pPr>
            <w:r>
              <w:rPr>
                <w:rFonts w:ascii="Times New Roman" w:hAnsi="Times New Roman" w:eastAsia="Times New Roman" w:cs="Times New Roman"/>
                <w:sz w:val="24"/>
                <w:szCs w:val="24"/>
              </w:rPr>
              <w:t>адекватно відтворювати в усному та письмовому перекладі стилістичний потенціал мовних одиниць тексту оригіналу</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 письмовий переклад, усний переклад, художній переклад, технічний переклад, науковий переклад, медичний переклад, юридичний переклад, публіцистичний переклад, німецька мова, українська мова.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7-го семестру.</w:t>
            </w:r>
          </w:p>
          <w:p>
            <w:pPr>
              <w:tabs>
                <w:tab w:val="left" w:pos="284"/>
                <w:tab w:val="left" w:pos="567"/>
              </w:tabs>
              <w:spacing w:after="0" w:line="240" w:lineRule="auto"/>
              <w:jc w:val="both"/>
            </w:pPr>
            <w:r>
              <w:rPr>
                <w:rFonts w:ascii="Times New Roman" w:hAnsi="Times New Roman" w:cs="Times New Roman"/>
                <w:sz w:val="24"/>
                <w:szCs w:val="24"/>
              </w:rPr>
              <w:t>Виставляється на підставі поточної успішності протягом семестру (50% від підсумкової оцінки) та усної відповіді під час іспиту (50% від підсумкової оцінки).</w:t>
            </w:r>
            <w:r>
              <w:t xml:space="preserve">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rPr>
              <w:t>Методи контролю:</w:t>
            </w:r>
            <w:r>
              <w:rPr>
                <w:sz w:val="24"/>
              </w:rPr>
              <w:t xml:space="preserve"> </w:t>
            </w:r>
            <w:r>
              <w:rPr>
                <w:rFonts w:ascii="Times New Roman" w:hAnsi="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 підсумкове семестрове оцінювання (у формі іспиту).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«Практика перекладу з першої іноземної мови», «Вступ до спеціальності», достатніх для сприйняття категоріального апарату в рамках дисципліни «Практика перекладу з першої іноземної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8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іспит: 50% семестрової оцінки; максимальна кількість балів – 50 балів.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0"/>
              <w:gridCol w:w="3742"/>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Письмові роботи: </w:t>
            </w:r>
            <w:r>
              <w:rPr>
                <w:rFonts w:ascii="Times New Roman" w:hAnsi="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«Практика перекладу з першої іноземної мови».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89" w:type="dxa"/>
          </w:tcPr>
          <w:p>
            <w:pPr>
              <w:spacing w:after="0" w:line="240" w:lineRule="auto"/>
            </w:pPr>
            <w:r>
              <w:rPr>
                <w:rFonts w:ascii="Times New Roman" w:hAnsi="Times New Roman" w:cs="Times New Roman"/>
                <w:sz w:val="24"/>
              </w:rPr>
              <w:t>Проблема відтворення власних назв та їхніх скорочень.</w:t>
            </w:r>
            <w:r>
              <w:rPr>
                <w:rFonts w:ascii="Times New Roman" w:hAnsi="Times New Roman" w:cs="Times New Roman"/>
                <w:b/>
                <w:sz w:val="24"/>
              </w:rPr>
              <w:t xml:space="preserve">  </w:t>
            </w:r>
          </w:p>
          <w:p>
            <w:pPr>
              <w:spacing w:after="0" w:line="240" w:lineRule="auto"/>
            </w:pPr>
            <w:r>
              <w:rPr>
                <w:rFonts w:ascii="Times New Roman" w:hAnsi="Times New Roman" w:cs="Times New Roman"/>
                <w:sz w:val="24"/>
              </w:rPr>
              <w:t>Проблема перекладу слова як змісту: синонімія, полісемія, омонімія, метафоризація, гра слів.</w:t>
            </w:r>
          </w:p>
          <w:p>
            <w:pPr>
              <w:spacing w:after="0" w:line="240" w:lineRule="auto"/>
            </w:pPr>
            <w:r>
              <w:rPr>
                <w:rFonts w:ascii="Times New Roman" w:hAnsi="Times New Roman" w:cs="Times New Roman"/>
                <w:sz w:val="24"/>
              </w:rPr>
              <w:t>Труднощі перекладу фразеологічних та ідіоматичних одиниць.</w:t>
            </w:r>
          </w:p>
          <w:p>
            <w:pPr>
              <w:spacing w:after="0" w:line="240" w:lineRule="auto"/>
            </w:pPr>
            <w:r>
              <w:rPr>
                <w:rFonts w:ascii="Times New Roman" w:hAnsi="Times New Roman" w:cs="Times New Roman"/>
                <w:sz w:val="24"/>
              </w:rPr>
              <w:t>Проблема перекладу іменників, займенників, прийменників, числівників.</w:t>
            </w:r>
          </w:p>
          <w:p>
            <w:pPr>
              <w:spacing w:after="0" w:line="240" w:lineRule="auto"/>
            </w:pPr>
            <w:r>
              <w:rPr>
                <w:rFonts w:ascii="Times New Roman" w:hAnsi="Times New Roman" w:cs="Times New Roman"/>
                <w:sz w:val="24"/>
              </w:rPr>
              <w:t xml:space="preserve">Проблема перекладу дієслів. Переклад пасивного стану. Переклад часових форм.  </w:t>
            </w:r>
          </w:p>
          <w:p>
            <w:pPr>
              <w:spacing w:after="0" w:line="240" w:lineRule="auto"/>
            </w:pPr>
            <w:r>
              <w:rPr>
                <w:rFonts w:ascii="Times New Roman" w:hAnsi="Times New Roman" w:cs="Times New Roman"/>
                <w:sz w:val="24"/>
              </w:rPr>
              <w:t xml:space="preserve">Проблема перекладу дієслів. Переклад наказового та умовного способів. Переклад інфінітивів як безособової форми. </w:t>
            </w:r>
          </w:p>
          <w:p>
            <w:pPr>
              <w:spacing w:after="0" w:line="240" w:lineRule="auto"/>
            </w:pPr>
            <w:r>
              <w:rPr>
                <w:rFonts w:ascii="Times New Roman" w:hAnsi="Times New Roman" w:cs="Times New Roman"/>
                <w:sz w:val="24"/>
              </w:rPr>
              <w:t xml:space="preserve">Переклад модальних дієслів. Переклад віддієслівних дієприкметникових конструкцій як безособових форм. </w:t>
            </w:r>
          </w:p>
          <w:p>
            <w:pPr>
              <w:spacing w:after="0" w:line="240" w:lineRule="auto"/>
              <w:jc w:val="both"/>
              <w:rPr>
                <w:rFonts w:ascii="Times New Roman" w:hAnsi="Times New Roman" w:cs="Times New Roman"/>
                <w:sz w:val="24"/>
              </w:rPr>
            </w:pPr>
            <w:r>
              <w:rPr>
                <w:rFonts w:ascii="Times New Roman" w:hAnsi="Times New Roman" w:cs="Times New Roman"/>
                <w:sz w:val="24"/>
              </w:rPr>
              <w:t xml:space="preserve">Особливості перекладу артиклів. </w:t>
            </w:r>
          </w:p>
          <w:p>
            <w:pPr>
              <w:spacing w:after="0" w:line="240" w:lineRule="auto"/>
              <w:jc w:val="both"/>
              <w:rPr>
                <w:rFonts w:ascii="Times New Roman" w:hAnsi="Times New Roman" w:cs="Times New Roman"/>
                <w:sz w:val="24"/>
              </w:rPr>
            </w:pPr>
            <w:r>
              <w:rPr>
                <w:rFonts w:ascii="Times New Roman" w:hAnsi="Times New Roman" w:cs="Times New Roman"/>
                <w:sz w:val="24"/>
              </w:rPr>
              <w:t>Загальні принципи перекладу порядку слів у простих та у складних реченнях.</w:t>
            </w:r>
            <w:r>
              <w:rPr>
                <w:rFonts w:ascii="Times New Roman" w:hAnsi="Times New Roman" w:cs="Times New Roman"/>
                <w:b/>
                <w:sz w:val="24"/>
              </w:rPr>
              <w:t xml:space="preserve"> </w:t>
            </w:r>
          </w:p>
          <w:p>
            <w:pPr>
              <w:spacing w:after="0" w:line="240" w:lineRule="auto"/>
            </w:pPr>
            <w:r>
              <w:rPr>
                <w:rFonts w:ascii="Times New Roman" w:hAnsi="Times New Roman" w:cs="Times New Roman"/>
                <w:sz w:val="24"/>
              </w:rPr>
              <w:t xml:space="preserve">Загальні принципи перекладу складних речень. </w:t>
            </w:r>
            <w:r>
              <w:rPr>
                <w:rFonts w:ascii="Times New Roman" w:hAnsi="Times New Roman" w:cs="Times New Roman"/>
                <w:b/>
                <w:sz w:val="24"/>
              </w:rPr>
              <w:t xml:space="preserve"> </w:t>
            </w:r>
          </w:p>
          <w:p>
            <w:pPr>
              <w:spacing w:after="0" w:line="240" w:lineRule="auto"/>
            </w:pPr>
            <w:r>
              <w:rPr>
                <w:rFonts w:ascii="Times New Roman" w:hAnsi="Times New Roman" w:cs="Times New Roman"/>
                <w:sz w:val="24"/>
              </w:rPr>
              <w:t>Проблеми перекладу різнотипових підрядних речень.</w:t>
            </w:r>
          </w:p>
          <w:p>
            <w:pPr>
              <w:spacing w:after="0" w:line="240" w:lineRule="auto"/>
            </w:pPr>
            <w:r>
              <w:rPr>
                <w:rFonts w:ascii="Times New Roman" w:hAnsi="Times New Roman" w:cs="Times New Roman"/>
                <w:sz w:val="24"/>
              </w:rPr>
              <w:t>Особливості перекладу текстів науково-технічного стилю.</w:t>
            </w:r>
          </w:p>
          <w:p>
            <w:pPr>
              <w:spacing w:after="0" w:line="240" w:lineRule="auto"/>
            </w:pPr>
            <w:r>
              <w:rPr>
                <w:rFonts w:ascii="Times New Roman" w:hAnsi="Times New Roman" w:cs="Times New Roman"/>
                <w:sz w:val="24"/>
              </w:rPr>
              <w:t xml:space="preserve">Особливості перекладу текстів військової тематики. </w:t>
            </w:r>
          </w:p>
          <w:p>
            <w:pPr>
              <w:spacing w:after="0" w:line="240" w:lineRule="auto"/>
            </w:pPr>
            <w:r>
              <w:rPr>
                <w:rFonts w:ascii="Times New Roman" w:hAnsi="Times New Roman" w:cs="Times New Roman"/>
                <w:sz w:val="24"/>
              </w:rPr>
              <w:t>Особливості перекладу текстів офіційно-ділового стилю.</w:t>
            </w:r>
          </w:p>
          <w:p>
            <w:pPr>
              <w:spacing w:after="0" w:line="240" w:lineRule="auto"/>
            </w:pPr>
            <w:r>
              <w:rPr>
                <w:rFonts w:ascii="Times New Roman" w:hAnsi="Times New Roman" w:cs="Times New Roman"/>
                <w:sz w:val="24"/>
              </w:rPr>
              <w:t xml:space="preserve">Особливості перекладу текстів публіцистичного стилю. </w:t>
            </w:r>
          </w:p>
          <w:p>
            <w:pPr>
              <w:spacing w:after="0" w:line="240" w:lineRule="auto"/>
            </w:pPr>
            <w:r>
              <w:rPr>
                <w:rFonts w:ascii="Times New Roman" w:hAnsi="Times New Roman" w:cs="Times New Roman"/>
                <w:sz w:val="24"/>
              </w:rPr>
              <w:t xml:space="preserve">Особливості перекладу текстів побутового стилю.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3C5"/>
    <w:multiLevelType w:val="multilevel"/>
    <w:tmpl w:val="056A63C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0A76D63"/>
    <w:multiLevelType w:val="multilevel"/>
    <w:tmpl w:val="20A76D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33ED3C71"/>
    <w:multiLevelType w:val="multilevel"/>
    <w:tmpl w:val="33ED3C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3EE3115"/>
    <w:multiLevelType w:val="multilevel"/>
    <w:tmpl w:val="43EE31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A14F99"/>
    <w:rsid w:val="000142D5"/>
    <w:rsid w:val="0001550E"/>
    <w:rsid w:val="00022CAB"/>
    <w:rsid w:val="00035310"/>
    <w:rsid w:val="000474BE"/>
    <w:rsid w:val="00060228"/>
    <w:rsid w:val="000668B0"/>
    <w:rsid w:val="000838A5"/>
    <w:rsid w:val="00086DF1"/>
    <w:rsid w:val="00090C59"/>
    <w:rsid w:val="000963DC"/>
    <w:rsid w:val="000968BD"/>
    <w:rsid w:val="000A0745"/>
    <w:rsid w:val="000A21C4"/>
    <w:rsid w:val="000C3454"/>
    <w:rsid w:val="000C5870"/>
    <w:rsid w:val="000D69EC"/>
    <w:rsid w:val="000E5773"/>
    <w:rsid w:val="000E6ABA"/>
    <w:rsid w:val="000E77F4"/>
    <w:rsid w:val="000F1E7C"/>
    <w:rsid w:val="000F3197"/>
    <w:rsid w:val="00110FFE"/>
    <w:rsid w:val="00112DF1"/>
    <w:rsid w:val="001220E5"/>
    <w:rsid w:val="00123688"/>
    <w:rsid w:val="0013312D"/>
    <w:rsid w:val="00140854"/>
    <w:rsid w:val="001474C1"/>
    <w:rsid w:val="00147CA5"/>
    <w:rsid w:val="001512F1"/>
    <w:rsid w:val="00154C3D"/>
    <w:rsid w:val="001666C5"/>
    <w:rsid w:val="00170AD3"/>
    <w:rsid w:val="001823C7"/>
    <w:rsid w:val="001912B7"/>
    <w:rsid w:val="001A3CC0"/>
    <w:rsid w:val="001C2E13"/>
    <w:rsid w:val="001C4800"/>
    <w:rsid w:val="001E036B"/>
    <w:rsid w:val="001E0AC5"/>
    <w:rsid w:val="0020008C"/>
    <w:rsid w:val="00200813"/>
    <w:rsid w:val="0023189C"/>
    <w:rsid w:val="00246A5B"/>
    <w:rsid w:val="00252CD5"/>
    <w:rsid w:val="00255CCF"/>
    <w:rsid w:val="002567B2"/>
    <w:rsid w:val="00262A68"/>
    <w:rsid w:val="00265B5C"/>
    <w:rsid w:val="002668D5"/>
    <w:rsid w:val="002802FE"/>
    <w:rsid w:val="0028363C"/>
    <w:rsid w:val="00291490"/>
    <w:rsid w:val="0029693D"/>
    <w:rsid w:val="0029704F"/>
    <w:rsid w:val="002A331C"/>
    <w:rsid w:val="002A3B14"/>
    <w:rsid w:val="002B5D05"/>
    <w:rsid w:val="002B5E45"/>
    <w:rsid w:val="002C1578"/>
    <w:rsid w:val="002C3E1A"/>
    <w:rsid w:val="002C7537"/>
    <w:rsid w:val="002D6EAC"/>
    <w:rsid w:val="002E398D"/>
    <w:rsid w:val="002F3A04"/>
    <w:rsid w:val="00311938"/>
    <w:rsid w:val="0031763F"/>
    <w:rsid w:val="00324625"/>
    <w:rsid w:val="00340733"/>
    <w:rsid w:val="003520DA"/>
    <w:rsid w:val="00353240"/>
    <w:rsid w:val="003607B5"/>
    <w:rsid w:val="0037198D"/>
    <w:rsid w:val="003758AD"/>
    <w:rsid w:val="00377564"/>
    <w:rsid w:val="00391039"/>
    <w:rsid w:val="00395881"/>
    <w:rsid w:val="00395883"/>
    <w:rsid w:val="003A1B35"/>
    <w:rsid w:val="003A6AE1"/>
    <w:rsid w:val="003B2BD1"/>
    <w:rsid w:val="003B701F"/>
    <w:rsid w:val="003C08C1"/>
    <w:rsid w:val="003C59C0"/>
    <w:rsid w:val="003E78EB"/>
    <w:rsid w:val="003F75A8"/>
    <w:rsid w:val="00400D6D"/>
    <w:rsid w:val="00410662"/>
    <w:rsid w:val="004113ED"/>
    <w:rsid w:val="00421927"/>
    <w:rsid w:val="004229F5"/>
    <w:rsid w:val="004416DC"/>
    <w:rsid w:val="004448ED"/>
    <w:rsid w:val="004451D2"/>
    <w:rsid w:val="004563A3"/>
    <w:rsid w:val="00460AC2"/>
    <w:rsid w:val="00464607"/>
    <w:rsid w:val="00474594"/>
    <w:rsid w:val="00481D73"/>
    <w:rsid w:val="00484403"/>
    <w:rsid w:val="00487750"/>
    <w:rsid w:val="004A4E9E"/>
    <w:rsid w:val="004B5C77"/>
    <w:rsid w:val="004C37DA"/>
    <w:rsid w:val="004D224B"/>
    <w:rsid w:val="004D553C"/>
    <w:rsid w:val="004D5660"/>
    <w:rsid w:val="004E739A"/>
    <w:rsid w:val="004F6CD2"/>
    <w:rsid w:val="00530816"/>
    <w:rsid w:val="00531126"/>
    <w:rsid w:val="0053225B"/>
    <w:rsid w:val="00543A92"/>
    <w:rsid w:val="00571E70"/>
    <w:rsid w:val="005839FE"/>
    <w:rsid w:val="005871A6"/>
    <w:rsid w:val="00591AE6"/>
    <w:rsid w:val="005A7553"/>
    <w:rsid w:val="005A7AA5"/>
    <w:rsid w:val="005B3A52"/>
    <w:rsid w:val="005D462F"/>
    <w:rsid w:val="005E430C"/>
    <w:rsid w:val="005E53B6"/>
    <w:rsid w:val="005E5599"/>
    <w:rsid w:val="005F3825"/>
    <w:rsid w:val="005F606F"/>
    <w:rsid w:val="00622338"/>
    <w:rsid w:val="0063013B"/>
    <w:rsid w:val="00633166"/>
    <w:rsid w:val="006348E4"/>
    <w:rsid w:val="00637C35"/>
    <w:rsid w:val="00661710"/>
    <w:rsid w:val="00680724"/>
    <w:rsid w:val="00682A19"/>
    <w:rsid w:val="006B39B6"/>
    <w:rsid w:val="006C5C0A"/>
    <w:rsid w:val="006D2B4B"/>
    <w:rsid w:val="006E0793"/>
    <w:rsid w:val="006E7259"/>
    <w:rsid w:val="006F2872"/>
    <w:rsid w:val="006F7E05"/>
    <w:rsid w:val="007233EF"/>
    <w:rsid w:val="00740E45"/>
    <w:rsid w:val="00745231"/>
    <w:rsid w:val="00746BF5"/>
    <w:rsid w:val="00753E89"/>
    <w:rsid w:val="00757015"/>
    <w:rsid w:val="007644A3"/>
    <w:rsid w:val="00766C01"/>
    <w:rsid w:val="007712A3"/>
    <w:rsid w:val="00772960"/>
    <w:rsid w:val="0078790E"/>
    <w:rsid w:val="00787BB8"/>
    <w:rsid w:val="007912E9"/>
    <w:rsid w:val="007944E8"/>
    <w:rsid w:val="007E2646"/>
    <w:rsid w:val="007F2861"/>
    <w:rsid w:val="007F53EC"/>
    <w:rsid w:val="00810BB2"/>
    <w:rsid w:val="008135AD"/>
    <w:rsid w:val="00833271"/>
    <w:rsid w:val="00846175"/>
    <w:rsid w:val="00856E0C"/>
    <w:rsid w:val="00861B8D"/>
    <w:rsid w:val="00872736"/>
    <w:rsid w:val="008733B0"/>
    <w:rsid w:val="00873F85"/>
    <w:rsid w:val="00875CE8"/>
    <w:rsid w:val="008809E8"/>
    <w:rsid w:val="00886C22"/>
    <w:rsid w:val="008A52E3"/>
    <w:rsid w:val="008B6AFC"/>
    <w:rsid w:val="008B7AB3"/>
    <w:rsid w:val="008C3905"/>
    <w:rsid w:val="008C5125"/>
    <w:rsid w:val="008C740E"/>
    <w:rsid w:val="008D519A"/>
    <w:rsid w:val="008D5CEE"/>
    <w:rsid w:val="008E212B"/>
    <w:rsid w:val="008F1502"/>
    <w:rsid w:val="008F65D3"/>
    <w:rsid w:val="008F7638"/>
    <w:rsid w:val="00906503"/>
    <w:rsid w:val="00912931"/>
    <w:rsid w:val="00912D1B"/>
    <w:rsid w:val="00921F70"/>
    <w:rsid w:val="00926690"/>
    <w:rsid w:val="00945524"/>
    <w:rsid w:val="00963DF3"/>
    <w:rsid w:val="00976026"/>
    <w:rsid w:val="00993F66"/>
    <w:rsid w:val="00995A90"/>
    <w:rsid w:val="00997E75"/>
    <w:rsid w:val="009C02DF"/>
    <w:rsid w:val="009F3413"/>
    <w:rsid w:val="009F3A8F"/>
    <w:rsid w:val="00A06637"/>
    <w:rsid w:val="00A11B5D"/>
    <w:rsid w:val="00A14F99"/>
    <w:rsid w:val="00A22147"/>
    <w:rsid w:val="00A36AEE"/>
    <w:rsid w:val="00A40F5A"/>
    <w:rsid w:val="00A65B9E"/>
    <w:rsid w:val="00A72D32"/>
    <w:rsid w:val="00A73367"/>
    <w:rsid w:val="00A74C26"/>
    <w:rsid w:val="00A754D9"/>
    <w:rsid w:val="00AA1790"/>
    <w:rsid w:val="00AA3454"/>
    <w:rsid w:val="00AB31FF"/>
    <w:rsid w:val="00AC5066"/>
    <w:rsid w:val="00AC64BF"/>
    <w:rsid w:val="00AD5B28"/>
    <w:rsid w:val="00AD6D50"/>
    <w:rsid w:val="00B13D0F"/>
    <w:rsid w:val="00B16DDD"/>
    <w:rsid w:val="00B176C7"/>
    <w:rsid w:val="00B17A00"/>
    <w:rsid w:val="00B21F1D"/>
    <w:rsid w:val="00B46BC2"/>
    <w:rsid w:val="00B5106A"/>
    <w:rsid w:val="00B51942"/>
    <w:rsid w:val="00B5602C"/>
    <w:rsid w:val="00B66D6F"/>
    <w:rsid w:val="00B70E20"/>
    <w:rsid w:val="00B7661F"/>
    <w:rsid w:val="00B76F7A"/>
    <w:rsid w:val="00B82652"/>
    <w:rsid w:val="00B83657"/>
    <w:rsid w:val="00B87F8F"/>
    <w:rsid w:val="00B900AD"/>
    <w:rsid w:val="00B96B32"/>
    <w:rsid w:val="00B97827"/>
    <w:rsid w:val="00BA0648"/>
    <w:rsid w:val="00BA5AF6"/>
    <w:rsid w:val="00BA5C64"/>
    <w:rsid w:val="00BB0BB8"/>
    <w:rsid w:val="00BC3238"/>
    <w:rsid w:val="00BD09E5"/>
    <w:rsid w:val="00BD58B9"/>
    <w:rsid w:val="00BE36CD"/>
    <w:rsid w:val="00BE4CC3"/>
    <w:rsid w:val="00BF0DCC"/>
    <w:rsid w:val="00BF129C"/>
    <w:rsid w:val="00BF379C"/>
    <w:rsid w:val="00C0634B"/>
    <w:rsid w:val="00C15F59"/>
    <w:rsid w:val="00C173A1"/>
    <w:rsid w:val="00C32AC1"/>
    <w:rsid w:val="00C54FB1"/>
    <w:rsid w:val="00C60DCF"/>
    <w:rsid w:val="00C65C7B"/>
    <w:rsid w:val="00C65F69"/>
    <w:rsid w:val="00C75674"/>
    <w:rsid w:val="00C80F24"/>
    <w:rsid w:val="00C81BD4"/>
    <w:rsid w:val="00C85589"/>
    <w:rsid w:val="00C85CB8"/>
    <w:rsid w:val="00C95DBF"/>
    <w:rsid w:val="00CA0EED"/>
    <w:rsid w:val="00CA1B66"/>
    <w:rsid w:val="00CA43D1"/>
    <w:rsid w:val="00CB0EE3"/>
    <w:rsid w:val="00CE0A75"/>
    <w:rsid w:val="00CE0BC8"/>
    <w:rsid w:val="00CF0147"/>
    <w:rsid w:val="00CF38FE"/>
    <w:rsid w:val="00CF6EF8"/>
    <w:rsid w:val="00CF7B63"/>
    <w:rsid w:val="00D023A7"/>
    <w:rsid w:val="00D1431A"/>
    <w:rsid w:val="00D220A8"/>
    <w:rsid w:val="00D222F5"/>
    <w:rsid w:val="00D25775"/>
    <w:rsid w:val="00D35902"/>
    <w:rsid w:val="00D4199B"/>
    <w:rsid w:val="00D41EF2"/>
    <w:rsid w:val="00D42B62"/>
    <w:rsid w:val="00D44328"/>
    <w:rsid w:val="00D44F54"/>
    <w:rsid w:val="00D46615"/>
    <w:rsid w:val="00D46B73"/>
    <w:rsid w:val="00D53949"/>
    <w:rsid w:val="00D56BFF"/>
    <w:rsid w:val="00D61AB9"/>
    <w:rsid w:val="00D62F8A"/>
    <w:rsid w:val="00D66059"/>
    <w:rsid w:val="00D67F28"/>
    <w:rsid w:val="00D72547"/>
    <w:rsid w:val="00D72CF1"/>
    <w:rsid w:val="00D7410C"/>
    <w:rsid w:val="00DA4300"/>
    <w:rsid w:val="00DB10D9"/>
    <w:rsid w:val="00DC3EF4"/>
    <w:rsid w:val="00DC4DD7"/>
    <w:rsid w:val="00DD44B6"/>
    <w:rsid w:val="00DD49E4"/>
    <w:rsid w:val="00DD5365"/>
    <w:rsid w:val="00DE4E6F"/>
    <w:rsid w:val="00DF618D"/>
    <w:rsid w:val="00E0490E"/>
    <w:rsid w:val="00E05661"/>
    <w:rsid w:val="00E21327"/>
    <w:rsid w:val="00E22534"/>
    <w:rsid w:val="00E271CB"/>
    <w:rsid w:val="00E33C03"/>
    <w:rsid w:val="00E51E49"/>
    <w:rsid w:val="00E755C1"/>
    <w:rsid w:val="00E77176"/>
    <w:rsid w:val="00E83BB6"/>
    <w:rsid w:val="00EA5BBB"/>
    <w:rsid w:val="00EC47B3"/>
    <w:rsid w:val="00ED0B47"/>
    <w:rsid w:val="00ED4A1E"/>
    <w:rsid w:val="00ED679D"/>
    <w:rsid w:val="00EE1595"/>
    <w:rsid w:val="00EE3967"/>
    <w:rsid w:val="00EE7039"/>
    <w:rsid w:val="00EF2C86"/>
    <w:rsid w:val="00EF37F4"/>
    <w:rsid w:val="00F0134F"/>
    <w:rsid w:val="00F20A92"/>
    <w:rsid w:val="00F23949"/>
    <w:rsid w:val="00F57A38"/>
    <w:rsid w:val="00F57AEF"/>
    <w:rsid w:val="00F622CF"/>
    <w:rsid w:val="00F66F80"/>
    <w:rsid w:val="00FA030D"/>
    <w:rsid w:val="00FA49D2"/>
    <w:rsid w:val="00FA656E"/>
    <w:rsid w:val="00FB7668"/>
    <w:rsid w:val="00FC74B7"/>
    <w:rsid w:val="00FD2F64"/>
    <w:rsid w:val="00FD6660"/>
    <w:rsid w:val="00FD7C58"/>
    <w:rsid w:val="00FE33EC"/>
    <w:rsid w:val="00FF58ED"/>
    <w:rsid w:val="00FF68F5"/>
    <w:rsid w:val="0659EEDA"/>
    <w:rsid w:val="08263B67"/>
    <w:rsid w:val="085D413A"/>
    <w:rsid w:val="1DB988F0"/>
    <w:rsid w:val="22683837"/>
    <w:rsid w:val="5AB651F1"/>
    <w:rsid w:val="DFE39B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character" w:default="1" w:styleId="7">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qFormat/>
    <w:uiPriority w:val="99"/>
    <w:pPr>
      <w:spacing w:after="0" w:line="240" w:lineRule="auto"/>
    </w:pPr>
    <w:rPr>
      <w:rFonts w:ascii="Tahoma" w:hAnsi="Tahoma" w:cs="Tahoma"/>
      <w:sz w:val="16"/>
      <w:szCs w:val="16"/>
    </w:rPr>
  </w:style>
  <w:style w:type="paragraph" w:styleId="6">
    <w:name w:val="Body Text"/>
    <w:basedOn w:val="1"/>
    <w:link w:val="17"/>
    <w:qFormat/>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Überschrift 1 Zchn"/>
    <w:basedOn w:val="7"/>
    <w:link w:val="2"/>
    <w:qFormat/>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Überschrift 4 Zchn"/>
    <w:basedOn w:val="7"/>
    <w:link w:val="3"/>
    <w:qFormat/>
    <w:uiPriority w:val="0"/>
    <w:rPr>
      <w:rFonts w:asciiTheme="majorHAnsi" w:hAnsiTheme="majorHAnsi" w:eastAsiaTheme="majorEastAsia" w:cstheme="majorBidi"/>
      <w:b/>
      <w:bCs/>
      <w:i/>
      <w:iCs/>
      <w:color w:val="4F81BD" w:themeColor="accent1"/>
    </w:rPr>
  </w:style>
  <w:style w:type="character" w:customStyle="1" w:styleId="16">
    <w:name w:val="Überschrift 7 Zchn"/>
    <w:basedOn w:val="7"/>
    <w:link w:val="4"/>
    <w:semiHidden/>
    <w:qFormat/>
    <w:uiPriority w:val="9"/>
    <w:rPr>
      <w:rFonts w:asciiTheme="majorHAnsi" w:hAnsiTheme="majorHAnsi" w:eastAsiaTheme="majorEastAsia" w:cstheme="majorBidi"/>
      <w:i/>
      <w:iCs/>
      <w:color w:val="3F3F3F" w:themeColor="text1" w:themeTint="BF"/>
    </w:rPr>
  </w:style>
  <w:style w:type="character" w:customStyle="1" w:styleId="17">
    <w:name w:val="Textkörper Zchn"/>
    <w:basedOn w:val="7"/>
    <w:link w:val="6"/>
    <w:qFormat/>
    <w:uiPriority w:val="0"/>
    <w:rPr>
      <w:rFonts w:ascii="Times New Roman" w:hAnsi="Times New Roman" w:eastAsia="Times New Roman" w:cs="Times New Roman"/>
      <w:sz w:val="28"/>
      <w:szCs w:val="24"/>
      <w:lang w:val="ru-RU" w:eastAsia="ru-RU"/>
    </w:rPr>
  </w:style>
  <w:style w:type="character" w:customStyle="1" w:styleId="18">
    <w:name w:val="Sprechblasentext Zchn"/>
    <w:basedOn w:val="7"/>
    <w:link w:val="5"/>
    <w:semiHidden/>
    <w:qFormat/>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0">
    <w:name w:val="valu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16100</Words>
  <Characters>9178</Characters>
  <Lines>76</Lines>
  <Paragraphs>50</Paragraphs>
  <ScaleCrop>false</ScaleCrop>
  <LinksUpToDate>false</LinksUpToDate>
  <CharactersWithSpaces>25228</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2020-02-28T02:07:00Z</dcterms:created>
  <dc:creator>Taras Pyts</dc:creator>
  <cp:lastModifiedBy>olgadenys</cp:lastModifiedBy>
  <cp:lastPrinted>2020-01-27T13:28:00Z</cp:lastPrinted>
  <dcterms:modified xsi:type="dcterms:W3CDTF">2021-02-18T18:19:12Z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