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D" w:rsidRPr="00A80FC5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C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84E9D" w:rsidRPr="00A80FC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Кафедра французької філології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784E9D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</w:rPr>
      </w:pP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</w:rPr>
        <w:t>Затверджено</w:t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  <w:b/>
          <w:bCs/>
        </w:rPr>
      </w:pPr>
    </w:p>
    <w:p w:rsidR="00784E9D" w:rsidRPr="00A80FC5" w:rsidRDefault="00784E9D" w:rsidP="00784E9D">
      <w:pPr>
        <w:ind w:left="1416" w:firstLine="708"/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На засіданні кафедри французької філології</w:t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факультету іноземних мов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Львівського національного університету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імені Івана Франка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</w:t>
      </w:r>
      <w:r w:rsidRPr="00A80FC5">
        <w:rPr>
          <w:rFonts w:ascii="Times New Roman" w:hAnsi="Times New Roman" w:cs="Times New Roman"/>
        </w:rPr>
        <w:t xml:space="preserve"> від  </w:t>
      </w:r>
      <w:r w:rsidR="00DB7CE9" w:rsidRPr="00DB7CE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серпня </w:t>
      </w:r>
      <w:r w:rsidRPr="00A80FC5">
        <w:rPr>
          <w:rFonts w:ascii="Times New Roman" w:hAnsi="Times New Roman" w:cs="Times New Roman"/>
        </w:rPr>
        <w:t>20</w:t>
      </w:r>
      <w:r w:rsidR="00DB7CE9">
        <w:rPr>
          <w:rFonts w:ascii="Times New Roman" w:hAnsi="Times New Roman" w:cs="Times New Roman"/>
        </w:rPr>
        <w:t>2</w:t>
      </w:r>
      <w:r w:rsidR="00DB7CE9" w:rsidRPr="00DB7CE9">
        <w:rPr>
          <w:rFonts w:ascii="Times New Roman" w:hAnsi="Times New Roman" w:cs="Times New Roman"/>
        </w:rPr>
        <w:t>2</w:t>
      </w:r>
      <w:r w:rsidRPr="00A80FC5">
        <w:rPr>
          <w:rFonts w:ascii="Times New Roman" w:hAnsi="Times New Roman" w:cs="Times New Roman"/>
        </w:rPr>
        <w:t>р.)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</w:p>
    <w:p w:rsidR="00784E9D" w:rsidRPr="00A80FC5" w:rsidRDefault="00DB7CE9" w:rsidP="00DB7CE9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</w:t>
      </w:r>
      <w:r w:rsidR="00A45B03" w:rsidRPr="00A45B03">
        <w:rPr>
          <w:rFonts w:ascii="Times New Roman" w:hAnsi="Times New Roman" w:cs="Times New Roman"/>
        </w:rPr>
        <w:t xml:space="preserve">ідувач </w:t>
      </w:r>
      <w:r w:rsidR="00784E9D" w:rsidRPr="00A80FC5">
        <w:rPr>
          <w:rFonts w:ascii="Times New Roman" w:hAnsi="Times New Roman" w:cs="Times New Roman"/>
        </w:rPr>
        <w:t xml:space="preserve"> кафедри </w:t>
      </w:r>
      <w:proofErr w:type="spellStart"/>
      <w:r w:rsidR="00784E9D" w:rsidRPr="00A80FC5">
        <w:rPr>
          <w:rFonts w:ascii="Times New Roman" w:hAnsi="Times New Roman" w:cs="Times New Roman"/>
        </w:rPr>
        <w:t>Піскозуб</w:t>
      </w:r>
      <w:proofErr w:type="spellEnd"/>
      <w:r w:rsidR="00784E9D" w:rsidRPr="00A80FC5">
        <w:rPr>
          <w:rFonts w:ascii="Times New Roman" w:hAnsi="Times New Roman" w:cs="Times New Roman"/>
        </w:rPr>
        <w:t xml:space="preserve"> З.Ф.</w:t>
      </w:r>
      <w:r w:rsidR="00784E9D" w:rsidRPr="00A80FC5">
        <w:rPr>
          <w:rFonts w:ascii="Times New Roman" w:hAnsi="Times New Roman" w:cs="Times New Roman"/>
        </w:rPr>
        <w:tab/>
      </w:r>
      <w:r w:rsidR="00784E9D"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80FC5">
        <w:rPr>
          <w:rFonts w:ascii="Times New Roman" w:hAnsi="Times New Roman" w:cs="Times New Roman"/>
          <w:b/>
          <w:bCs/>
          <w:sz w:val="32"/>
          <w:szCs w:val="32"/>
        </w:rPr>
        <w:t>Силабус</w:t>
      </w:r>
      <w:proofErr w:type="spellEnd"/>
      <w:r w:rsidRPr="00A80FC5">
        <w:rPr>
          <w:rFonts w:ascii="Times New Roman" w:hAnsi="Times New Roman" w:cs="Times New Roman"/>
          <w:b/>
          <w:bCs/>
          <w:sz w:val="32"/>
          <w:szCs w:val="32"/>
        </w:rPr>
        <w:t xml:space="preserve"> з навчальної дисципліни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>«Іноземна</w:t>
      </w:r>
      <w:r w:rsidR="004B1A5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правнича</w:t>
      </w: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мова (французька)»</w:t>
      </w:r>
      <w:r w:rsidRPr="00A80FC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A45B03" w:rsidRDefault="00784E9D" w:rsidP="00784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375D8C">
        <w:rPr>
          <w:rFonts w:ascii="Times New Roman" w:hAnsi="Times New Roman" w:cs="Times New Roman"/>
          <w:sz w:val="32"/>
          <w:szCs w:val="32"/>
        </w:rPr>
        <w:t xml:space="preserve">що викладається в межах </w:t>
      </w:r>
    </w:p>
    <w:p w:rsidR="00784E9D" w:rsidRPr="00A45B03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45B03">
        <w:rPr>
          <w:rFonts w:ascii="Times New Roman" w:hAnsi="Times New Roman" w:cs="Times New Roman"/>
          <w:b/>
          <w:sz w:val="32"/>
          <w:szCs w:val="32"/>
        </w:rPr>
        <w:t>ОПП</w:t>
      </w:r>
      <w:r w:rsidR="004B1A5A" w:rsidRPr="00A45B03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«Право»</w:t>
      </w:r>
    </w:p>
    <w:p w:rsidR="00A45B03" w:rsidRDefault="00A45B03" w:rsidP="00A45B03">
      <w:pPr>
        <w:jc w:val="center"/>
        <w:rPr>
          <w:rFonts w:ascii="Times New Roman" w:hAnsi="Times New Roman"/>
        </w:rPr>
      </w:pPr>
    </w:p>
    <w:p w:rsidR="00A45B03" w:rsidRPr="00A45B03" w:rsidRDefault="00A45B03" w:rsidP="00A45B03">
      <w:pPr>
        <w:jc w:val="center"/>
        <w:rPr>
          <w:rFonts w:ascii="Times New Roman" w:hAnsi="Times New Roman"/>
          <w:sz w:val="32"/>
          <w:szCs w:val="32"/>
        </w:rPr>
      </w:pPr>
      <w:r w:rsidRPr="00A45B03">
        <w:rPr>
          <w:rFonts w:ascii="Times New Roman" w:hAnsi="Times New Roman"/>
          <w:sz w:val="32"/>
          <w:szCs w:val="32"/>
        </w:rPr>
        <w:t xml:space="preserve">другого (магістерського) рівня вищої освіти </w:t>
      </w:r>
    </w:p>
    <w:p w:rsidR="00A45B03" w:rsidRPr="00A45B03" w:rsidRDefault="00A45B03" w:rsidP="00A45B03">
      <w:pPr>
        <w:jc w:val="center"/>
        <w:rPr>
          <w:rFonts w:ascii="Times New Roman" w:hAnsi="Times New Roman"/>
          <w:sz w:val="32"/>
          <w:szCs w:val="32"/>
        </w:rPr>
      </w:pPr>
      <w:r w:rsidRPr="00A45B03">
        <w:rPr>
          <w:rFonts w:ascii="Times New Roman" w:hAnsi="Times New Roman"/>
          <w:sz w:val="32"/>
          <w:szCs w:val="32"/>
        </w:rPr>
        <w:t>для здобувачів з спеціальності</w:t>
      </w:r>
    </w:p>
    <w:p w:rsidR="00A45B03" w:rsidRPr="00A45B03" w:rsidRDefault="00A45B03" w:rsidP="00A45B03">
      <w:pPr>
        <w:jc w:val="center"/>
        <w:rPr>
          <w:rFonts w:ascii="Times New Roman" w:hAnsi="Times New Roman"/>
          <w:b/>
          <w:sz w:val="32"/>
          <w:szCs w:val="32"/>
        </w:rPr>
      </w:pPr>
      <w:r w:rsidRPr="00A45B03">
        <w:rPr>
          <w:rFonts w:ascii="Times New Roman" w:hAnsi="Times New Roman"/>
          <w:b/>
          <w:sz w:val="32"/>
          <w:szCs w:val="32"/>
        </w:rPr>
        <w:t>081 «Право»</w:t>
      </w:r>
    </w:p>
    <w:p w:rsidR="00A45B03" w:rsidRPr="00A45B03" w:rsidRDefault="00A45B03" w:rsidP="00A45B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5B03" w:rsidRPr="00A45B03" w:rsidRDefault="00A45B03" w:rsidP="00A45B03">
      <w:pPr>
        <w:jc w:val="center"/>
        <w:rPr>
          <w:rFonts w:ascii="Times New Roman" w:hAnsi="Times New Roman"/>
          <w:b/>
          <w:sz w:val="32"/>
          <w:szCs w:val="32"/>
        </w:rPr>
      </w:pPr>
      <w:r w:rsidRPr="00A45B03">
        <w:rPr>
          <w:rFonts w:ascii="Times New Roman" w:hAnsi="Times New Roman"/>
          <w:sz w:val="32"/>
          <w:szCs w:val="32"/>
        </w:rPr>
        <w:t>галузі знань</w:t>
      </w:r>
      <w:r w:rsidRPr="00A45B03">
        <w:rPr>
          <w:rFonts w:ascii="Times New Roman" w:hAnsi="Times New Roman"/>
          <w:b/>
          <w:sz w:val="32"/>
          <w:szCs w:val="32"/>
        </w:rPr>
        <w:t xml:space="preserve"> </w:t>
      </w:r>
      <w:r w:rsidRPr="00A45B03">
        <w:rPr>
          <w:rFonts w:ascii="Times New Roman" w:hAnsi="Times New Roman"/>
          <w:sz w:val="32"/>
          <w:szCs w:val="32"/>
        </w:rPr>
        <w:t xml:space="preserve"> 08 «Право»</w:t>
      </w:r>
    </w:p>
    <w:p w:rsidR="00784E9D" w:rsidRPr="00A45B03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E9D" w:rsidRPr="00A80FC5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431F8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D6598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</w:t>
      </w:r>
    </w:p>
    <w:p w:rsidR="00784E9D" w:rsidRPr="004B1A5A" w:rsidRDefault="00DB7CE9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4B1A5A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0D6598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98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5A" w:rsidRDefault="004B1A5A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5A" w:rsidRPr="00375D8C" w:rsidRDefault="004B1A5A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:rsidR="00784E9D" w:rsidRPr="00A80FC5" w:rsidRDefault="00784E9D" w:rsidP="00784E9D">
      <w:pPr>
        <w:jc w:val="center"/>
        <w:rPr>
          <w:rFonts w:ascii="Times New Roman" w:eastAsia="Times New Roman" w:hAnsi="Times New Roman"/>
          <w:b/>
          <w:u w:val="single"/>
        </w:rPr>
      </w:pPr>
      <w:proofErr w:type="spellStart"/>
      <w:r w:rsidRPr="00A80FC5">
        <w:rPr>
          <w:rFonts w:ascii="Times New Roman" w:eastAsia="Times New Roman" w:hAnsi="Times New Roman"/>
          <w:b/>
        </w:rPr>
        <w:t>Силабус</w:t>
      </w:r>
      <w:proofErr w:type="spellEnd"/>
      <w:r w:rsidRPr="00A80FC5">
        <w:rPr>
          <w:rFonts w:ascii="Times New Roman" w:eastAsia="Times New Roman" w:hAnsi="Times New Roman"/>
          <w:b/>
        </w:rPr>
        <w:t xml:space="preserve"> курсу </w:t>
      </w:r>
      <w:r w:rsidRPr="00A80FC5">
        <w:rPr>
          <w:rFonts w:ascii="Times New Roman" w:eastAsia="Times New Roman" w:hAnsi="Times New Roman"/>
          <w:b/>
          <w:u w:val="single"/>
        </w:rPr>
        <w:t>Іноземна</w:t>
      </w:r>
      <w:r w:rsidR="00B719AF">
        <w:rPr>
          <w:rFonts w:ascii="Times New Roman" w:eastAsia="Times New Roman" w:hAnsi="Times New Roman"/>
          <w:b/>
          <w:u w:val="single"/>
        </w:rPr>
        <w:t xml:space="preserve"> правнича</w:t>
      </w:r>
      <w:r w:rsidRPr="00A80FC5">
        <w:rPr>
          <w:rFonts w:ascii="Times New Roman" w:eastAsia="Times New Roman" w:hAnsi="Times New Roman"/>
          <w:b/>
          <w:u w:val="single"/>
        </w:rPr>
        <w:t xml:space="preserve"> мова (французька)</w:t>
      </w:r>
    </w:p>
    <w:p w:rsidR="00784E9D" w:rsidRPr="00A80FC5" w:rsidRDefault="00784E9D" w:rsidP="00784E9D">
      <w:pPr>
        <w:jc w:val="center"/>
        <w:rPr>
          <w:rFonts w:ascii="Times New Roman" w:eastAsia="Times New Roman" w:hAnsi="Times New Roman"/>
          <w:b/>
        </w:rPr>
      </w:pPr>
      <w:r w:rsidRPr="00A80FC5">
        <w:rPr>
          <w:rFonts w:ascii="Times New Roman" w:eastAsia="Times New Roman" w:hAnsi="Times New Roman"/>
          <w:b/>
          <w:u w:val="single"/>
        </w:rPr>
        <w:t>202</w:t>
      </w:r>
      <w:r w:rsidR="00FE2878" w:rsidRPr="004B1A5A">
        <w:rPr>
          <w:rFonts w:ascii="Times New Roman" w:eastAsia="Times New Roman" w:hAnsi="Times New Roman"/>
          <w:b/>
          <w:u w:val="single"/>
          <w:lang w:val="ru-RU"/>
        </w:rPr>
        <w:t>2</w:t>
      </w:r>
      <w:r w:rsidRPr="004B1A5A">
        <w:rPr>
          <w:rFonts w:ascii="Times New Roman" w:eastAsia="Times New Roman" w:hAnsi="Times New Roman"/>
          <w:b/>
          <w:u w:val="single"/>
          <w:lang w:val="ru-RU"/>
        </w:rPr>
        <w:t>-202</w:t>
      </w:r>
      <w:r w:rsidR="00FE2878" w:rsidRPr="004B1A5A">
        <w:rPr>
          <w:rFonts w:ascii="Times New Roman" w:eastAsia="Times New Roman" w:hAnsi="Times New Roman"/>
          <w:b/>
          <w:u w:val="single"/>
          <w:lang w:val="ru-RU"/>
        </w:rPr>
        <w:t>3</w:t>
      </w:r>
      <w:r w:rsidRPr="00A80FC5">
        <w:rPr>
          <w:rFonts w:ascii="Times New Roman" w:eastAsia="Times New Roman" w:hAnsi="Times New Roman"/>
          <w:b/>
        </w:rPr>
        <w:t xml:space="preserve"> навчального року </w:t>
      </w:r>
    </w:p>
    <w:p w:rsidR="00784E9D" w:rsidRPr="00A80FC5" w:rsidRDefault="00784E9D" w:rsidP="00784E9D">
      <w:pPr>
        <w:rPr>
          <w:rFonts w:ascii="Times New Roman" w:eastAsia="Times New Roman" w:hAnsi="Times New Roman"/>
        </w:rPr>
      </w:pPr>
    </w:p>
    <w:tbl>
      <w:tblPr>
        <w:tblW w:w="9918" w:type="dxa"/>
        <w:tblLook w:val="0000"/>
      </w:tblPr>
      <w:tblGrid>
        <w:gridCol w:w="2744"/>
        <w:gridCol w:w="7174"/>
      </w:tblGrid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 xml:space="preserve">Іноземна </w:t>
            </w:r>
            <w:r w:rsidR="00B719AF">
              <w:rPr>
                <w:rFonts w:ascii="Times New Roman" w:eastAsia="Times New Roman" w:hAnsi="Times New Roman"/>
                <w:sz w:val="22"/>
                <w:szCs w:val="22"/>
              </w:rPr>
              <w:t xml:space="preserve">правнича </w:t>
            </w: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мова (французька)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79000, м. Львів., вул. Університетська 1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Факультет іноземних мов, кафедра французької філології.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11640E" w:rsidRDefault="00A45B03" w:rsidP="00E90293">
            <w:pPr>
              <w:pStyle w:val="1"/>
              <w:rPr>
                <w:rFonts w:ascii="Times New Roman" w:hAnsi="Times New Roman"/>
              </w:rPr>
            </w:pPr>
            <w:r w:rsidRPr="00BB18C0">
              <w:rPr>
                <w:rFonts w:ascii="Times New Roman" w:hAnsi="Times New Roman"/>
              </w:rPr>
              <w:t>галузь знань</w:t>
            </w:r>
            <w:r w:rsidRPr="00BB18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08</w:t>
            </w:r>
            <w:r w:rsidRPr="00BB18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BB18C0">
              <w:rPr>
                <w:rFonts w:ascii="Times New Roman" w:hAnsi="Times New Roman"/>
                <w:b/>
              </w:rPr>
              <w:t>Право</w:t>
            </w:r>
            <w:r>
              <w:rPr>
                <w:rFonts w:ascii="Times New Roman" w:hAnsi="Times New Roman"/>
                <w:b/>
              </w:rPr>
              <w:t xml:space="preserve">», </w:t>
            </w:r>
            <w:r w:rsidRPr="00BB18C0">
              <w:rPr>
                <w:rFonts w:ascii="Times New Roman" w:hAnsi="Times New Roman"/>
                <w:b/>
              </w:rPr>
              <w:t xml:space="preserve"> </w:t>
            </w:r>
            <w:r w:rsidRPr="00BB18C0">
              <w:rPr>
                <w:rFonts w:ascii="Times New Roman" w:hAnsi="Times New Roman"/>
              </w:rPr>
              <w:t>спеціальності</w:t>
            </w:r>
            <w:r>
              <w:rPr>
                <w:rFonts w:ascii="Times New Roman" w:hAnsi="Times New Roman"/>
                <w:b/>
              </w:rPr>
              <w:t xml:space="preserve"> 081 «Право»</w:t>
            </w:r>
          </w:p>
          <w:p w:rsidR="00A45B03" w:rsidRPr="0011640E" w:rsidRDefault="00A45B03" w:rsidP="00E90293">
            <w:pPr>
              <w:pStyle w:val="1"/>
              <w:rPr>
                <w:rFonts w:ascii="Times New Roman" w:hAnsi="Times New Roman"/>
              </w:rPr>
            </w:pP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375D8C" w:rsidRDefault="00A45B03" w:rsidP="000D6598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 xml:space="preserve">ас. кафедри французької філології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Миколаєвич-Джуман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Н.Б.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Default="00A45B03" w:rsidP="000D6598">
            <w:pPr>
              <w:jc w:val="both"/>
              <w:rPr>
                <w:rFonts w:ascii="Times New Roman" w:hAnsi="Times New Roman"/>
              </w:rPr>
            </w:pPr>
            <w:r w:rsidRPr="007C6268">
              <w:rPr>
                <w:rFonts w:ascii="Times New Roman" w:hAnsi="Times New Roman"/>
              </w:rPr>
              <w:t>Кафедра французької філології</w:t>
            </w:r>
          </w:p>
          <w:p w:rsidR="00A45B03" w:rsidRPr="00375D8C" w:rsidRDefault="00A45B03" w:rsidP="000D6598">
            <w:pPr>
              <w:jc w:val="both"/>
              <w:rPr>
                <w:rFonts w:ascii="Times New Roman" w:eastAsia="Times New Roman" w:hAnsi="Times New Roman"/>
              </w:rPr>
            </w:pPr>
            <w:r w:rsidRPr="006B62A7">
              <w:rPr>
                <w:rFonts w:ascii="Times New Roman" w:eastAsia="Times New Roman" w:hAnsi="Times New Roman"/>
              </w:rPr>
              <w:t>https://lingua.lnu.edu.ua/employee/mykolajevych-nataliya-bohdanivna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375D8C" w:rsidRDefault="00A45B03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75D8C">
              <w:rPr>
                <w:rStyle w:val="20"/>
                <w:rFonts w:eastAsia="DejaVu Sans"/>
                <w:b w:val="0"/>
                <w:bCs w:val="0"/>
              </w:rPr>
              <w:t>Консультації в</w:t>
            </w:r>
            <w:r w:rsidRPr="00375D8C">
              <w:rPr>
                <w:rStyle w:val="20"/>
                <w:rFonts w:eastAsia="DejaVu Sans"/>
                <w:b w:val="0"/>
              </w:rPr>
              <w:t xml:space="preserve">ідбуваються </w:t>
            </w:r>
            <w:r w:rsidRPr="00375D8C">
              <w:rPr>
                <w:rStyle w:val="20"/>
                <w:rFonts w:eastAsia="DejaVu Sans"/>
                <w:b w:val="0"/>
                <w:bCs w:val="0"/>
              </w:rPr>
              <w:t>за попередньою домовленістю з викладачем.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375D8C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A45B03">
              <w:rPr>
                <w:rFonts w:ascii="Times New Roman" w:eastAsia="Times New Roman" w:hAnsi="Times New Roman"/>
              </w:rPr>
              <w:t>https://lingua.lnu.edu.ua/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35360" w:rsidRDefault="00A45B03" w:rsidP="00935360">
            <w:pPr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Курс розроблено таким чином, щоб надати </w:t>
            </w:r>
            <w:r>
              <w:rPr>
                <w:rFonts w:ascii="Times New Roman" w:eastAsia="Times New Roman" w:hAnsi="Times New Roman"/>
              </w:rPr>
              <w:t xml:space="preserve">студентам </w:t>
            </w:r>
            <w:r w:rsidRPr="0011640E">
              <w:rPr>
                <w:rFonts w:ascii="Times New Roman" w:eastAsia="Times New Roman" w:hAnsi="Times New Roman"/>
              </w:rPr>
              <w:t xml:space="preserve"> необхідні знання, обов’язкові для того, щоб ознайомити </w:t>
            </w:r>
            <w:r>
              <w:rPr>
                <w:rFonts w:ascii="Times New Roman" w:eastAsia="Times New Roman" w:hAnsi="Times New Roman"/>
              </w:rPr>
              <w:t>їх</w:t>
            </w:r>
            <w:r w:rsidRPr="0011640E">
              <w:rPr>
                <w:rFonts w:ascii="Times New Roman" w:eastAsia="Times New Roman" w:hAnsi="Times New Roman"/>
              </w:rPr>
              <w:t xml:space="preserve"> із найбільш комунікативними стратегіями усної та письмової комунікації у міжнародному праві. </w:t>
            </w:r>
            <w:r w:rsidRPr="0011640E">
              <w:rPr>
                <w:rFonts w:ascii="Times New Roman" w:hAnsi="Times New Roman"/>
              </w:rPr>
              <w:t>Практичні завдання, які входять до програми курсу, формують  у  студентів  вміння  правильно  будувати  аргументацію, судову промову, висловлювати пропозицію,  згоду, відмову, подавати скаргу, укладати петицію, консультувати</w:t>
            </w:r>
            <w:r>
              <w:rPr>
                <w:rFonts w:ascii="Times New Roman" w:hAnsi="Times New Roman"/>
              </w:rPr>
              <w:t xml:space="preserve"> клієнта, вести переговори тощо</w:t>
            </w:r>
            <w:r w:rsidRPr="0011640E">
              <w:rPr>
                <w:rFonts w:ascii="Times New Roman" w:hAnsi="Times New Roman"/>
              </w:rPr>
              <w:t>.  Ці  комунікативні  вміння  є  невід’ємними  для  складання  усної та письмової частини міжнародного іспи</w:t>
            </w:r>
            <w:r w:rsidR="00B33375">
              <w:rPr>
                <w:rFonts w:ascii="Times New Roman" w:hAnsi="Times New Roman"/>
              </w:rPr>
              <w:t>ту зі знання французької мови D</w:t>
            </w:r>
            <w:r w:rsidR="00B33375">
              <w:rPr>
                <w:rFonts w:ascii="Times New Roman" w:hAnsi="Times New Roman"/>
                <w:lang w:val="fr-FR"/>
              </w:rPr>
              <w:t>A</w:t>
            </w:r>
            <w:r w:rsidR="00B33375">
              <w:rPr>
                <w:rFonts w:ascii="Times New Roman" w:hAnsi="Times New Roman"/>
              </w:rPr>
              <w:t xml:space="preserve">LF рівня </w:t>
            </w:r>
            <w:r w:rsidRPr="0011640E">
              <w:rPr>
                <w:rFonts w:ascii="Times New Roman" w:hAnsi="Times New Roman"/>
              </w:rPr>
              <w:t xml:space="preserve">С1. Мовна складова курсу зосереджена на найбільш поширених і необхідних для французької мови права формах і кліше: пасивна форма дієслів, умовний спосіб, номінальне речення, безособові конструкції для вираження згоди, незгоди, підтримки, емоцій, логічні </w:t>
            </w:r>
            <w:proofErr w:type="spellStart"/>
            <w:r w:rsidRPr="0011640E">
              <w:rPr>
                <w:rFonts w:ascii="Times New Roman" w:hAnsi="Times New Roman"/>
              </w:rPr>
              <w:t>конектори</w:t>
            </w:r>
            <w:proofErr w:type="spellEnd"/>
            <w:r w:rsidRPr="0011640E">
              <w:rPr>
                <w:rFonts w:ascii="Times New Roman" w:hAnsi="Times New Roman"/>
              </w:rPr>
              <w:t xml:space="preserve"> тощо.</w:t>
            </w:r>
            <w:r w:rsidRPr="0011640E">
              <w:rPr>
                <w:rFonts w:ascii="Times New Roman" w:eastAsia="Times New Roman" w:hAnsi="Times New Roman"/>
              </w:rPr>
              <w:t xml:space="preserve"> Лексичне наповнення будується навколо базових понять та  термінології міжнародного права.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784E9D" w:rsidRDefault="00A45B03" w:rsidP="00431F84">
            <w:pPr>
              <w:jc w:val="both"/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</w:pP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Дисципліна «Іноземна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правнича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мова (французька мова)» є нормативною для освітньо-професійної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програми підготовки магістра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за спеціальностями: </w:t>
            </w:r>
          </w:p>
          <w:p w:rsidR="00A45B03" w:rsidRPr="002347C9" w:rsidRDefault="00A45B03" w:rsidP="00B719AF">
            <w:pPr>
              <w:jc w:val="both"/>
              <w:rPr>
                <w:rFonts w:ascii="Times New Roman" w:hAnsi="Times New Roman" w:cs="Times New Roman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8</w:t>
            </w: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Право, 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яка викладається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 xml:space="preserve">на першому </w:t>
            </w:r>
            <w:r>
              <w:rPr>
                <w:rStyle w:val="20"/>
                <w:rFonts w:eastAsia="DejaVu Sans"/>
                <w:b w:val="0"/>
                <w:bCs w:val="0"/>
              </w:rPr>
              <w:t>кур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>сі</w:t>
            </w:r>
            <w:r w:rsidR="00B33375" w:rsidRPr="00B33375">
              <w:rPr>
                <w:rStyle w:val="20"/>
                <w:rFonts w:eastAsia="DejaVu Sans"/>
                <w:b w:val="0"/>
                <w:bCs w:val="0"/>
                <w:lang w:val="ru-RU"/>
              </w:rPr>
              <w:t xml:space="preserve"> </w:t>
            </w:r>
            <w:r w:rsidR="00B33375">
              <w:rPr>
                <w:rStyle w:val="20"/>
                <w:rFonts w:eastAsia="DejaVu Sans"/>
                <w:b w:val="0"/>
                <w:bCs w:val="0"/>
              </w:rPr>
              <w:t>магістратури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r>
              <w:rPr>
                <w:rStyle w:val="20"/>
                <w:rFonts w:eastAsia="DejaVu Sans"/>
                <w:b w:val="0"/>
                <w:bCs w:val="0"/>
              </w:rPr>
              <w:t xml:space="preserve">2 семестру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>в обсязі</w:t>
            </w:r>
            <w:r>
              <w:rPr>
                <w:rStyle w:val="20"/>
                <w:rFonts w:eastAsia="DejaVu Sans"/>
                <w:b w:val="0"/>
                <w:bCs w:val="0"/>
              </w:rPr>
              <w:t xml:space="preserve"> 3,5</w:t>
            </w:r>
            <w:r w:rsidRPr="002347C9">
              <w:rPr>
                <w:rStyle w:val="2"/>
                <w:rFonts w:eastAsia="DejaVu Sans"/>
                <w:b w:val="0"/>
                <w:bCs w:val="0"/>
                <w:u w:val="none"/>
              </w:rPr>
              <w:t xml:space="preserve">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>кредитів (за Європейською Кредитно-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>Трансферною Системою ECTS).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7B1967" w:rsidRDefault="00A45B03" w:rsidP="00EF100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196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7B1967" w:rsidRDefault="00A45B03" w:rsidP="00EF1005">
            <w:pPr>
              <w:pStyle w:val="a4"/>
              <w:jc w:val="both"/>
              <w:rPr>
                <w:rStyle w:val="markedcontent"/>
                <w:sz w:val="22"/>
                <w:szCs w:val="22"/>
              </w:rPr>
            </w:pPr>
            <w:r w:rsidRPr="007B1967">
              <w:rPr>
                <w:rStyle w:val="markedcontent"/>
                <w:sz w:val="22"/>
                <w:szCs w:val="22"/>
              </w:rPr>
              <w:t xml:space="preserve">Метою викладання навчальної дисципліни є вивчення мови на рівні </w:t>
            </w:r>
            <w:r w:rsidRPr="007B1967">
              <w:rPr>
                <w:rStyle w:val="markedcontent"/>
                <w:sz w:val="22"/>
                <w:szCs w:val="22"/>
                <w:lang w:val="fr-FR"/>
              </w:rPr>
              <w:t>B</w:t>
            </w:r>
            <w:r w:rsidRPr="007B1967">
              <w:rPr>
                <w:rStyle w:val="markedcontent"/>
                <w:sz w:val="22"/>
                <w:szCs w:val="22"/>
              </w:rPr>
              <w:t>2+/С1 на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 досягнення студентами рівня знань, відповідного д</w:t>
            </w:r>
            <w:r>
              <w:rPr>
                <w:rStyle w:val="markedcontent"/>
                <w:sz w:val="22"/>
                <w:szCs w:val="22"/>
              </w:rPr>
              <w:t>о вимог дипломованого магістр</w:t>
            </w:r>
            <w:r w:rsidRPr="007B1967">
              <w:rPr>
                <w:rStyle w:val="markedcontent"/>
                <w:sz w:val="22"/>
                <w:szCs w:val="22"/>
              </w:rPr>
              <w:t>а, який забезпечить можливість застосування іноземної мови у практичній діяльності.</w:t>
            </w:r>
          </w:p>
          <w:p w:rsidR="00A45B03" w:rsidRPr="007B1967" w:rsidRDefault="00A45B03" w:rsidP="007B19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Завдання курсу передбачають розвиток у студентів рецептивних та продуктивних комунікативних умінь та навичок, зокрема: читання </w:t>
            </w:r>
            <w:r w:rsidRPr="007B19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(розуміти зміст автентичних текстів тематики,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визначеної програмою, високого</w:t>
            </w: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рівня складності з підручників та посібників, спеціалізованих та популярних періодичних видань, Інтернет джерел тощ</w:t>
            </w:r>
            <w:r w:rsidR="00935360">
              <w:rPr>
                <w:rFonts w:ascii="Times New Roman" w:hAnsi="Times New Roman" w:cs="Times New Roman"/>
                <w:sz w:val="22"/>
                <w:szCs w:val="22"/>
              </w:rPr>
              <w:t xml:space="preserve">о), </w:t>
            </w:r>
            <w:proofErr w:type="spellStart"/>
            <w:r w:rsidR="00935360">
              <w:rPr>
                <w:rFonts w:ascii="Times New Roman" w:hAnsi="Times New Roman" w:cs="Times New Roman"/>
                <w:sz w:val="22"/>
                <w:szCs w:val="22"/>
              </w:rPr>
              <w:t>аудіювання</w:t>
            </w:r>
            <w:proofErr w:type="spellEnd"/>
            <w:r w:rsidR="00935360">
              <w:rPr>
                <w:rFonts w:ascii="Times New Roman" w:hAnsi="Times New Roman" w:cs="Times New Roman"/>
                <w:sz w:val="22"/>
                <w:szCs w:val="22"/>
              </w:rPr>
              <w:t xml:space="preserve"> (розуміти зміст</w:t>
            </w: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усних висловлювань носіїв мови у процесі безпосереднього усного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спілкування</w:t>
            </w: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, виокремлювати ключові деталі інформації, що сприймається з навчальних </w:t>
            </w:r>
            <w:proofErr w:type="spellStart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>аудіо-</w:t>
            </w:r>
            <w:proofErr w:type="spellEnd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чи відеозаписів), письма (володіти умінням написання різних типів ділової та приватної документації: приватні листи, листи-запити, листи-скарги, </w:t>
            </w:r>
            <w:proofErr w:type="spellStart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>мейли</w:t>
            </w:r>
            <w:proofErr w:type="spellEnd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, рішення суду, постанови); логічно і </w:t>
            </w:r>
            <w:proofErr w:type="spellStart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>зв’язно</w:t>
            </w:r>
            <w:proofErr w:type="spellEnd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, з високим ступенем стилістичної і граматичної коректності писати дискурсивні та </w:t>
            </w:r>
            <w:proofErr w:type="spellStart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>аргументативні</w:t>
            </w:r>
            <w:proofErr w:type="spellEnd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есе, дотримуючись вимог формату письмового висловлювання; анотувати, реферувати та резюмувати прочитаний текст), усного мовлення (чітко, детально, стилістично і граматично правильно висловлювати свою думку, наводячи різноманітні аргументи за і проти; описувати досвід, події, плани; наводити пояснення і докази; грамотно і </w:t>
            </w:r>
            <w:proofErr w:type="spellStart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>когерентно</w:t>
            </w:r>
            <w:proofErr w:type="spellEnd"/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презентувати досить великі за обсягом усні повідомлення). Курс охоплює такі теми: «Франкомовні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медіа»,</w:t>
            </w: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«Юридична система Франції», «Юридична освіта», «Юридичні професії», «Галузі права», «Судочинство», «Кримінальне провадження», «Міжнародні організації», «Європейські організації»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 Концепція природного права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 Римське приватне право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B33375">
              <w:rPr>
                <w:rFonts w:ascii="Times New Roman" w:hAnsi="Times New Roman" w:cs="Times New Roman"/>
                <w:sz w:val="22"/>
                <w:szCs w:val="22"/>
              </w:rPr>
              <w:t>Цивільнийй</w:t>
            </w:r>
            <w:proofErr w:type="spellEnd"/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 кодекс Наполеона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3375">
              <w:rPr>
                <w:rFonts w:ascii="Times New Roman" w:hAnsi="Times New Roman" w:cs="Times New Roman"/>
                <w:sz w:val="22"/>
                <w:szCs w:val="22"/>
              </w:rPr>
              <w:t xml:space="preserve">Організація державної влади у </w:t>
            </w:r>
            <w:proofErr w:type="spellStart"/>
            <w:r w:rsidR="00B33375">
              <w:rPr>
                <w:rFonts w:ascii="Times New Roman" w:hAnsi="Times New Roman" w:cs="Times New Roman"/>
                <w:sz w:val="22"/>
                <w:szCs w:val="22"/>
              </w:rPr>
              <w:t>Францї</w:t>
            </w:r>
            <w:proofErr w:type="spellEnd"/>
            <w:r w:rsidR="00B33375" w:rsidRPr="007B19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 тощо.</w:t>
            </w:r>
          </w:p>
          <w:p w:rsidR="00A45B03" w:rsidRPr="007B1967" w:rsidRDefault="00A45B03" w:rsidP="00EF1005">
            <w:pPr>
              <w:pStyle w:val="a4"/>
              <w:jc w:val="both"/>
              <w:rPr>
                <w:rStyle w:val="markedcontent"/>
                <w:sz w:val="22"/>
                <w:szCs w:val="22"/>
              </w:rPr>
            </w:pPr>
          </w:p>
          <w:p w:rsidR="00A45B03" w:rsidRPr="007B1967" w:rsidRDefault="00A45B03" w:rsidP="007B19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967">
              <w:rPr>
                <w:rFonts w:ascii="Times New Roman" w:hAnsi="Times New Roman" w:cs="Times New Roman"/>
                <w:sz w:val="22"/>
                <w:szCs w:val="22"/>
              </w:rPr>
              <w:t xml:space="preserve">Курс побудований на автентичному матеріалі, що відповідає тематиці основних правничих дисциплін, включених до фахової підготовки спеціалістів у галузі права. </w:t>
            </w:r>
            <w:r w:rsidRPr="007B1967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Основними завданнями вивчення дисципліни є: реалізація комунікативних намірів на письмі; робота з іншомовними джерелами професійного характеру; участь в бесідах французькою мовою в обсязі тематики, передбаченої програмою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5B03" w:rsidRPr="007B1967" w:rsidRDefault="00A45B03" w:rsidP="00EF1005">
            <w:pPr>
              <w:pStyle w:val="a4"/>
              <w:jc w:val="both"/>
              <w:rPr>
                <w:rStyle w:val="markedcontent"/>
                <w:sz w:val="22"/>
                <w:szCs w:val="22"/>
              </w:rPr>
            </w:pPr>
          </w:p>
          <w:p w:rsidR="00A45B03" w:rsidRPr="007B1967" w:rsidRDefault="00A45B03" w:rsidP="00EF1005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7B1967">
              <w:rPr>
                <w:rStyle w:val="markedcontent"/>
                <w:sz w:val="22"/>
                <w:szCs w:val="22"/>
              </w:rPr>
              <w:t>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  <w:bCs/>
              </w:rPr>
              <w:lastRenderedPageBreak/>
              <w:t>Література для вивчення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6062AD" w:rsidRDefault="00A45B03" w:rsidP="006062AD">
            <w:pPr>
              <w:rPr>
                <w:rFonts w:ascii="Times New Roman" w:hAnsi="Times New Roman" w:cs="Times New Roman"/>
                <w:b/>
              </w:rPr>
            </w:pPr>
            <w:r w:rsidRPr="006062AD">
              <w:rPr>
                <w:rStyle w:val="2"/>
                <w:rFonts w:eastAsia="DejaVu Sans"/>
                <w:bCs w:val="0"/>
                <w:sz w:val="24"/>
                <w:szCs w:val="24"/>
                <w:u w:val="none"/>
              </w:rPr>
              <w:t>Рекомендована література</w:t>
            </w:r>
            <w:r w:rsidR="006062AD">
              <w:rPr>
                <w:rStyle w:val="2"/>
                <w:rFonts w:eastAsia="DejaVu Sans"/>
                <w:bCs w:val="0"/>
                <w:sz w:val="24"/>
                <w:szCs w:val="24"/>
                <w:u w:val="none"/>
              </w:rPr>
              <w:t>:</w:t>
            </w:r>
          </w:p>
          <w:p w:rsidR="00A45B03" w:rsidRPr="006062AD" w:rsidRDefault="00A45B03" w:rsidP="006062AD">
            <w:pPr>
              <w:rPr>
                <w:b/>
              </w:rPr>
            </w:pPr>
          </w:p>
          <w:p w:rsidR="00A45B03" w:rsidRPr="00AC6A8C" w:rsidRDefault="00A45B03" w:rsidP="00AC6A8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Heu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Boulhat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É.,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Mabilat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.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dito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2,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thode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fran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ç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ais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FR"/>
              </w:rPr>
              <w:t>e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dition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ditions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Didiers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, 2015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– 223 p.</w:t>
            </w:r>
          </w:p>
          <w:p w:rsidR="00A45B03" w:rsidRPr="00AC6A8C" w:rsidRDefault="00A45B03" w:rsidP="00AC6A8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Heu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Boulhat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É.,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Mabilat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.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dito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2,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Cahier d’exercices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FR"/>
              </w:rPr>
              <w:t>e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dition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ditions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Didiers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, 2015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– 220 p.</w:t>
            </w:r>
          </w:p>
          <w:p w:rsidR="00A45B03" w:rsidRPr="00AC6A8C" w:rsidRDefault="00A45B03" w:rsidP="00AC6A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3. Чурсіна Л.,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Осмоловська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О.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 français pour les juristes. 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Навчальний посібник з французької мови для студентів-юристів. – Х.: «Право», 2012, -565 с.</w:t>
            </w:r>
          </w:p>
          <w:p w:rsidR="00A45B03" w:rsidRPr="00AC6A8C" w:rsidRDefault="00A45B03" w:rsidP="00AC6A8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Penfornis J.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 français du droit : Affaires, Europe, Administration, Justice, Travail, Contrats P. : Clé interantional, 2001. – 278 p.</w:t>
            </w:r>
          </w:p>
          <w:p w:rsidR="00A45B03" w:rsidRPr="00AC6A8C" w:rsidRDefault="00A45B03" w:rsidP="00AC6A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Bissardon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S.,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Guide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langage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juridique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(vocabulaire-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pièges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et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diffi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cultés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). – P.: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LexisNexis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Litec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, 2009. – 491 p.</w:t>
            </w:r>
          </w:p>
          <w:p w:rsidR="00A45B03" w:rsidRPr="00AC6A8C" w:rsidRDefault="00A45B03" w:rsidP="00AC6A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6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Leclerc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Les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institutions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l’Union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Européenne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. – P.: </w:t>
            </w:r>
            <w:proofErr w:type="spellStart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Gualino</w:t>
            </w:r>
            <w:proofErr w:type="spellEnd"/>
            <w:r w:rsidRPr="00AC6A8C">
              <w:rPr>
                <w:rFonts w:ascii="Times New Roman" w:hAnsi="Times New Roman" w:cs="Times New Roman"/>
                <w:sz w:val="22"/>
                <w:szCs w:val="22"/>
              </w:rPr>
              <w:t>, 2010. – 256 p.</w:t>
            </w:r>
          </w:p>
          <w:p w:rsidR="006062AD" w:rsidRDefault="00A45B03" w:rsidP="00606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7. Gregoire M., Thiévenaz O. Grammaire progressif du français. Niveau intermédiaire. 4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FR"/>
              </w:rPr>
              <w:t>e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C6A8C">
              <w:rPr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 w:rsidRPr="00AC6A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dition. P. : Clé interantional, 2017. – 278 p.</w:t>
            </w:r>
          </w:p>
          <w:p w:rsidR="006062AD" w:rsidRDefault="006062AD" w:rsidP="006062AD">
            <w:pPr>
              <w:rPr>
                <w:rStyle w:val="rvts0"/>
                <w:rFonts w:ascii="Times New Roman" w:hAnsi="Times New Roman" w:cs="Times New Roman"/>
                <w:sz w:val="22"/>
                <w:szCs w:val="22"/>
              </w:rPr>
            </w:pPr>
            <w:r w:rsidRPr="006062AD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6062AD">
              <w:rPr>
                <w:rFonts w:ascii="Times New Roman" w:hAnsi="Times New Roman" w:cs="Times New Roman"/>
                <w:bCs/>
                <w:sz w:val="22"/>
                <w:szCs w:val="22"/>
              </w:rPr>
              <w:t>Писаревська</w:t>
            </w:r>
            <w:proofErr w:type="spellEnd"/>
            <w:r w:rsidRPr="00606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Strat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>é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gies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pour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la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communication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orale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crite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en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Droit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  <w:lang w:val="fr-FR"/>
              </w:rPr>
              <w:t>international </w:t>
            </w:r>
            <w:r w:rsidRPr="006062AD"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>: навчальний посібник. Тернопіль, «Вектор». 2021. 120 с.</w:t>
            </w:r>
          </w:p>
          <w:p w:rsidR="006062AD" w:rsidRDefault="006062AD" w:rsidP="00606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0"/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6062AD">
              <w:rPr>
                <w:rFonts w:ascii="Times New Roman" w:hAnsi="Times New Roman"/>
                <w:lang w:val="fr-FR"/>
              </w:rPr>
              <w:t xml:space="preserve">Soignet M., Riehl L., Amiot M.-H. Objectif Diplomatie 2. Le français des relations européennes et internationales. Livre de l’élève. – </w:t>
            </w:r>
            <w:r w:rsidRPr="006062AD">
              <w:rPr>
                <w:rFonts w:ascii="Times New Roman" w:hAnsi="Times New Roman"/>
              </w:rPr>
              <w:t xml:space="preserve">P.: </w:t>
            </w:r>
            <w:r w:rsidRPr="006062AD">
              <w:rPr>
                <w:rFonts w:ascii="Times New Roman" w:hAnsi="Times New Roman"/>
                <w:lang w:val="fr-FR"/>
              </w:rPr>
              <w:t>Hachette</w:t>
            </w:r>
            <w:r w:rsidRPr="006062AD">
              <w:rPr>
                <w:rFonts w:ascii="Times New Roman" w:hAnsi="Times New Roman"/>
              </w:rPr>
              <w:t xml:space="preserve">, </w:t>
            </w:r>
            <w:r w:rsidRPr="006062AD">
              <w:rPr>
                <w:rFonts w:ascii="Times New Roman" w:hAnsi="Times New Roman"/>
                <w:lang w:val="fr-FR"/>
              </w:rPr>
              <w:t>2010</w:t>
            </w:r>
            <w:r w:rsidRPr="006062AD">
              <w:rPr>
                <w:rFonts w:ascii="Times New Roman" w:hAnsi="Times New Roman"/>
              </w:rPr>
              <w:t xml:space="preserve">. – </w:t>
            </w:r>
            <w:r w:rsidRPr="006062AD">
              <w:rPr>
                <w:rFonts w:ascii="Times New Roman" w:hAnsi="Times New Roman"/>
                <w:lang w:val="fr-FR"/>
              </w:rPr>
              <w:t>192</w:t>
            </w:r>
            <w:r w:rsidRPr="006062AD">
              <w:rPr>
                <w:rFonts w:ascii="Times New Roman" w:hAnsi="Times New Roman"/>
              </w:rPr>
              <w:t xml:space="preserve"> p.</w:t>
            </w:r>
          </w:p>
          <w:p w:rsidR="006062AD" w:rsidRPr="006062AD" w:rsidRDefault="006062AD" w:rsidP="00606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11640E">
              <w:rPr>
                <w:rFonts w:ascii="Times New Roman" w:hAnsi="Times New Roman"/>
                <w:lang w:val="fr-FR"/>
              </w:rPr>
              <w:t xml:space="preserve">Soignet M. Le Français juriqdique.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2003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127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Default="006062AD" w:rsidP="006062A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 xml:space="preserve"> </w:t>
            </w:r>
          </w:p>
          <w:p w:rsidR="006062AD" w:rsidRPr="0011640E" w:rsidRDefault="006062AD" w:rsidP="006062A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 xml:space="preserve">Додаткова література: </w:t>
            </w:r>
          </w:p>
          <w:p w:rsidR="006062AD" w:rsidRPr="006062AD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Agi. M. Encyclopédie des droits de l’homme. Sommaire.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Fondation international des droits de l’homme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246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6062AD">
              <w:rPr>
                <w:rFonts w:ascii="Times New Roman" w:hAnsi="Times New Roman"/>
                <w:lang w:val="fr-FR"/>
              </w:rPr>
              <w:lastRenderedPageBreak/>
              <w:t xml:space="preserve">Aron. M. Les grandes plaidoiries des ténors du barreau. </w:t>
            </w:r>
            <w:r w:rsidRPr="006062AD">
              <w:rPr>
                <w:rFonts w:ascii="Times New Roman" w:hAnsi="Times New Roman"/>
              </w:rPr>
              <w:t>– P.:</w:t>
            </w:r>
            <w:r w:rsidRPr="006062AD">
              <w:rPr>
                <w:rFonts w:ascii="Times New Roman" w:hAnsi="Times New Roman"/>
                <w:lang w:val="fr-FR"/>
              </w:rPr>
              <w:t xml:space="preserve"> Pocket, 2013</w:t>
            </w:r>
            <w:r w:rsidRPr="006062AD">
              <w:rPr>
                <w:rFonts w:ascii="Times New Roman" w:hAnsi="Times New Roman"/>
              </w:rPr>
              <w:t>. –</w:t>
            </w:r>
            <w:r w:rsidRPr="0011640E">
              <w:rPr>
                <w:rFonts w:ascii="Times New Roman" w:hAnsi="Times New Roman"/>
                <w:lang w:val="fr-FR"/>
              </w:rPr>
              <w:t>288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Carreau. D.  Droit International.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Pedone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1994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646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De Wenden. C.W. L’immigration en Europe.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La documentation Française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1999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165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Dollez C., Pons S. Alter Ego+ 4. Livre de l’élève.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224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Dollez C., Pons S. Alter Ego+ 4. Cahier d’activités.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Hachette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128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Dormoy D. Droit des organisations internationales. 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Dalloz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1995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114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Ferréol G., Blaquet M., Flageul N. Dictionnaire de l’Union Européenne.</w:t>
            </w:r>
            <w:r w:rsidRPr="0011640E">
              <w:rPr>
                <w:rFonts w:ascii="Times New Roman" w:hAnsi="Times New Roman"/>
              </w:rPr>
              <w:t xml:space="preserve"> – P.: É</w:t>
            </w:r>
            <w:r w:rsidRPr="0011640E">
              <w:rPr>
                <w:rFonts w:ascii="Times New Roman" w:hAnsi="Times New Roman"/>
                <w:lang w:val="fr-FR"/>
              </w:rPr>
              <w:t>ditions Armand Collin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2000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191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Gandini J.</w:t>
            </w:r>
            <w:r w:rsidRPr="0011640E">
              <w:rPr>
                <w:rFonts w:ascii="Times New Roman" w:hAnsi="Times New Roman"/>
              </w:rPr>
              <w:t xml:space="preserve"> – </w:t>
            </w:r>
            <w:r w:rsidRPr="0011640E">
              <w:rPr>
                <w:rFonts w:ascii="Times New Roman" w:hAnsi="Times New Roman"/>
                <w:lang w:val="fr-FR"/>
              </w:rPr>
              <w:t>J. Les doits de l’Homme.</w:t>
            </w:r>
            <w:r w:rsidRPr="0011640E">
              <w:rPr>
                <w:rFonts w:ascii="Times New Roman" w:hAnsi="Times New Roman"/>
              </w:rPr>
              <w:t xml:space="preserve"> – P.: </w:t>
            </w:r>
            <w:r w:rsidRPr="0011640E">
              <w:rPr>
                <w:rFonts w:ascii="Times New Roman" w:hAnsi="Times New Roman"/>
                <w:lang w:val="fr-FR"/>
              </w:rPr>
              <w:t>Librio</w:t>
            </w:r>
            <w:r w:rsidRPr="0011640E">
              <w:rPr>
                <w:rFonts w:ascii="Times New Roman" w:hAnsi="Times New Roman"/>
              </w:rPr>
              <w:t>, 199</w:t>
            </w:r>
            <w:r w:rsidRPr="0011640E">
              <w:rPr>
                <w:rFonts w:ascii="Times New Roman" w:hAnsi="Times New Roman"/>
                <w:lang w:val="fr-FR"/>
              </w:rPr>
              <w:t>8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157</w:t>
            </w:r>
            <w:r w:rsidRPr="0011640E">
              <w:rPr>
                <w:rFonts w:ascii="Times New Roman" w:hAnsi="Times New Roman"/>
              </w:rPr>
              <w:t xml:space="preserve"> p.</w:t>
            </w:r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Guinchard S., Debard T. Lexique des termes juridiques 2013.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Dalloz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2013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967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Mimran R., Poisson-Quinton S. Expression écrite. Niveau 4. </w:t>
            </w:r>
            <w:r w:rsidRPr="0011640E">
              <w:rPr>
                <w:rFonts w:ascii="Times New Roman" w:hAnsi="Times New Roman"/>
              </w:rPr>
              <w:t xml:space="preserve">– P.: </w:t>
            </w:r>
            <w:r w:rsidRPr="0011640E">
              <w:rPr>
                <w:rFonts w:ascii="Times New Roman" w:hAnsi="Times New Roman"/>
                <w:lang w:val="fr-FR"/>
              </w:rPr>
              <w:t>Clé International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2008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126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lang w:val="fr-FR"/>
              </w:rPr>
              <w:t>Ouraoui M. Les grands discours de l’Europe. 1918. – 2008.</w:t>
            </w:r>
            <w:r w:rsidRPr="0011640E">
              <w:rPr>
                <w:rFonts w:ascii="Times New Roman" w:hAnsi="Times New Roman"/>
              </w:rPr>
              <w:t xml:space="preserve"> – P.: É</w:t>
            </w:r>
            <w:r w:rsidRPr="0011640E">
              <w:rPr>
                <w:rFonts w:ascii="Times New Roman" w:hAnsi="Times New Roman"/>
                <w:lang w:val="fr-FR"/>
              </w:rPr>
              <w:t>ditions complexes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2008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529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11640E">
              <w:rPr>
                <w:rFonts w:ascii="Times New Roman" w:hAnsi="Times New Roman"/>
              </w:rPr>
              <w:t>Bissardon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r w:rsidRPr="0011640E">
              <w:rPr>
                <w:rFonts w:ascii="Times New Roman" w:hAnsi="Times New Roman"/>
              </w:rPr>
              <w:t xml:space="preserve">S. </w:t>
            </w:r>
            <w:proofErr w:type="spellStart"/>
            <w:r w:rsidRPr="0011640E">
              <w:rPr>
                <w:rFonts w:ascii="Times New Roman" w:hAnsi="Times New Roman"/>
              </w:rPr>
              <w:t>Guide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langage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juridique</w:t>
            </w:r>
            <w:proofErr w:type="spellEnd"/>
            <w:r w:rsidRPr="0011640E">
              <w:rPr>
                <w:rFonts w:ascii="Times New Roman" w:hAnsi="Times New Roman"/>
              </w:rPr>
              <w:t xml:space="preserve"> (</w:t>
            </w:r>
            <w:proofErr w:type="spellStart"/>
            <w:r w:rsidRPr="0011640E">
              <w:rPr>
                <w:rFonts w:ascii="Times New Roman" w:hAnsi="Times New Roman"/>
              </w:rPr>
              <w:t>vocabulaire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r w:rsidRPr="0011640E">
              <w:rPr>
                <w:rFonts w:ascii="Times New Roman" w:hAnsi="Times New Roman"/>
              </w:rPr>
              <w:t xml:space="preserve">- </w:t>
            </w:r>
            <w:proofErr w:type="spellStart"/>
            <w:r w:rsidRPr="0011640E">
              <w:rPr>
                <w:rFonts w:ascii="Times New Roman" w:hAnsi="Times New Roman"/>
              </w:rPr>
              <w:t>pièges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diffi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cultés</w:t>
            </w:r>
            <w:proofErr w:type="spellEnd"/>
            <w:r w:rsidRPr="0011640E">
              <w:rPr>
                <w:rFonts w:ascii="Times New Roman" w:hAnsi="Times New Roman"/>
              </w:rPr>
              <w:t>). – P.: «</w:t>
            </w:r>
            <w:proofErr w:type="spellStart"/>
            <w:r w:rsidRPr="0011640E">
              <w:rPr>
                <w:rFonts w:ascii="Times New Roman" w:hAnsi="Times New Roman"/>
              </w:rPr>
              <w:t>LexisNexis</w:t>
            </w:r>
            <w:proofErr w:type="spellEnd"/>
            <w:r w:rsidRPr="0011640E">
              <w:rPr>
                <w:rFonts w:ascii="Times New Roman" w:hAnsi="Times New Roman"/>
              </w:rPr>
              <w:t xml:space="preserve">» </w:t>
            </w:r>
            <w:proofErr w:type="spellStart"/>
            <w:r w:rsidRPr="0011640E">
              <w:rPr>
                <w:rFonts w:ascii="Times New Roman" w:hAnsi="Times New Roman"/>
              </w:rPr>
              <w:t>Litec</w:t>
            </w:r>
            <w:proofErr w:type="spellEnd"/>
            <w:r w:rsidRPr="0011640E">
              <w:rPr>
                <w:rFonts w:ascii="Times New Roman" w:hAnsi="Times New Roman"/>
              </w:rPr>
              <w:t>, 2009. – 491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Vandenbulcke L., Weylandt E. À la découverte du français juridique. – B</w:t>
            </w:r>
            <w:r w:rsidRPr="0011640E">
              <w:rPr>
                <w:rFonts w:ascii="Times New Roman" w:hAnsi="Times New Roman"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>: Die Keure-La Charte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2016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>200</w:t>
            </w:r>
            <w:r w:rsidRPr="0011640E">
              <w:rPr>
                <w:rFonts w:ascii="Times New Roman" w:hAnsi="Times New Roman"/>
              </w:rPr>
              <w:t xml:space="preserve"> p.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Wattier S. Les mots pour convaincre. – </w:t>
            </w:r>
            <w:r w:rsidRPr="0011640E">
              <w:rPr>
                <w:rFonts w:ascii="Times New Roman" w:hAnsi="Times New Roman"/>
              </w:rPr>
              <w:t xml:space="preserve">P.: </w:t>
            </w:r>
            <w:r w:rsidRPr="0011640E">
              <w:rPr>
                <w:rFonts w:ascii="Times New Roman" w:hAnsi="Times New Roman"/>
                <w:lang w:val="fr-FR"/>
              </w:rPr>
              <w:t>Commun français</w:t>
            </w:r>
            <w:r w:rsidRPr="0011640E">
              <w:rPr>
                <w:rFonts w:ascii="Times New Roman" w:hAnsi="Times New Roman"/>
              </w:rPr>
              <w:t xml:space="preserve">, </w:t>
            </w:r>
            <w:r w:rsidRPr="0011640E">
              <w:rPr>
                <w:rFonts w:ascii="Times New Roman" w:hAnsi="Times New Roman"/>
                <w:lang w:val="fr-FR"/>
              </w:rPr>
              <w:t>2019</w:t>
            </w:r>
            <w:r w:rsidRPr="0011640E">
              <w:rPr>
                <w:rFonts w:ascii="Times New Roman" w:hAnsi="Times New Roman"/>
              </w:rPr>
              <w:t xml:space="preserve">. – </w:t>
            </w:r>
            <w:r w:rsidRPr="0011640E">
              <w:rPr>
                <w:rFonts w:ascii="Times New Roman" w:hAnsi="Times New Roman"/>
                <w:lang w:val="fr-FR"/>
              </w:rPr>
              <w:t xml:space="preserve">75 </w:t>
            </w:r>
            <w:r w:rsidRPr="0011640E">
              <w:rPr>
                <w:rFonts w:ascii="Times New Roman" w:hAnsi="Times New Roman"/>
              </w:rPr>
              <w:t>p.</w:t>
            </w:r>
          </w:p>
          <w:p w:rsidR="006062AD" w:rsidRPr="00D013DE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013DE">
              <w:rPr>
                <w:rFonts w:ascii="Times New Roman" w:hAnsi="Times New Roman"/>
                <w:lang w:val="ru-RU"/>
              </w:rPr>
              <w:t>Малишева</w:t>
            </w:r>
            <w:proofErr w:type="spellEnd"/>
            <w:r w:rsidRPr="00D013DE">
              <w:rPr>
                <w:rFonts w:ascii="Times New Roman" w:hAnsi="Times New Roman"/>
                <w:lang w:val="ru-RU"/>
              </w:rPr>
              <w:t xml:space="preserve"> Н. </w:t>
            </w:r>
            <w:proofErr w:type="spellStart"/>
            <w:r w:rsidRPr="00D013DE">
              <w:rPr>
                <w:rFonts w:ascii="Times New Roman" w:hAnsi="Times New Roman"/>
                <w:lang w:val="ru-RU"/>
              </w:rPr>
              <w:t>Французько-український</w:t>
            </w:r>
            <w:proofErr w:type="spellEnd"/>
            <w:r w:rsidRPr="00D013D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D013DE">
              <w:rPr>
                <w:rFonts w:ascii="Times New Roman" w:hAnsi="Times New Roman"/>
                <w:lang w:val="ru-RU"/>
              </w:rPr>
              <w:t>українсько-французький</w:t>
            </w:r>
            <w:proofErr w:type="spellEnd"/>
            <w:r w:rsidRPr="00D013D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013DE">
              <w:rPr>
                <w:rFonts w:ascii="Times New Roman" w:hAnsi="Times New Roman"/>
                <w:lang w:val="ru-RU"/>
              </w:rPr>
              <w:t>юридичний</w:t>
            </w:r>
            <w:proofErr w:type="spellEnd"/>
            <w:r w:rsidRPr="00D013DE">
              <w:rPr>
                <w:rFonts w:ascii="Times New Roman" w:hAnsi="Times New Roman"/>
                <w:lang w:val="ru-RU"/>
              </w:rPr>
              <w:t xml:space="preserve"> словник (60 000 </w:t>
            </w:r>
            <w:proofErr w:type="spellStart"/>
            <w:r w:rsidRPr="00D013DE">
              <w:rPr>
                <w:rFonts w:ascii="Times New Roman" w:hAnsi="Times New Roman"/>
                <w:lang w:val="ru-RU"/>
              </w:rPr>
              <w:t>слів</w:t>
            </w:r>
            <w:proofErr w:type="spellEnd"/>
            <w:r w:rsidRPr="00D013DE">
              <w:rPr>
                <w:rFonts w:ascii="Times New Roman" w:hAnsi="Times New Roman"/>
                <w:lang w:val="ru-RU"/>
              </w:rPr>
              <w:t xml:space="preserve">). – </w:t>
            </w:r>
            <w:r w:rsidRPr="0011640E">
              <w:rPr>
                <w:rFonts w:ascii="Times New Roman" w:hAnsi="Times New Roman"/>
              </w:rPr>
              <w:t>Х.</w:t>
            </w:r>
            <w:r w:rsidRPr="00D013DE">
              <w:rPr>
                <w:rFonts w:ascii="Times New Roman" w:hAnsi="Times New Roman"/>
                <w:lang w:val="ru-RU"/>
              </w:rPr>
              <w:t xml:space="preserve">: </w:t>
            </w:r>
            <w:r w:rsidRPr="0011640E">
              <w:rPr>
                <w:rFonts w:ascii="Times New Roman" w:hAnsi="Times New Roman"/>
              </w:rPr>
              <w:t xml:space="preserve">Право, </w:t>
            </w:r>
            <w:r w:rsidRPr="00D013DE">
              <w:rPr>
                <w:rFonts w:ascii="Times New Roman" w:hAnsi="Times New Roman"/>
                <w:lang w:val="ru-RU"/>
              </w:rPr>
              <w:t>2016</w:t>
            </w:r>
            <w:r w:rsidRPr="0011640E">
              <w:rPr>
                <w:rFonts w:ascii="Times New Roman" w:hAnsi="Times New Roman"/>
              </w:rPr>
              <w:t>. – 736с.</w:t>
            </w:r>
          </w:p>
          <w:p w:rsidR="006062AD" w:rsidRPr="0011640E" w:rsidRDefault="006062AD" w:rsidP="006062A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b/>
              </w:rPr>
              <w:t>Інтернет-джерела</w:t>
            </w:r>
            <w:proofErr w:type="spellEnd"/>
            <w:r w:rsidRPr="0011640E">
              <w:rPr>
                <w:rFonts w:ascii="Times New Roman" w:eastAsia="Times New Roman" w:hAnsi="Times New Roman"/>
                <w:b/>
              </w:rPr>
              <w:t>: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Centre d’analyse stratégique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"https://www.strategie.gouv.fr/"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https://www.strategie.gouv.fr/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Conseil de l’Europe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"https://www.coe.int/fr/web/portal/home"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https://www.coe.int/fr/web/portal/home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Cours des comptes européenne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5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https://www.eca.europa.eu/fr/Pages/ecadefault.aspx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Cours de justice de l’Union Européenne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"https://curia.europa.eu/jcms/jcms/j_6/fr/"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https://curia.europa.eu/jcms/jcms/j_6/fr/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Cours européenne des droits de l’Homme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"https://www.echr.coe.int/"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https://www.echr.coe.int/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Cours internationale de justice de La Haie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6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https://www.icj-cij.org/fr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Cours pénale internationale : </w:t>
            </w:r>
            <w:hyperlink r:id="rId7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https://www.icc-cpi.int/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Cyberlex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8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https://www.cyberlex.org/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Cyber Tribunal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9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http://www.cybertribunal.org/</w:t>
              </w:r>
            </w:hyperlink>
          </w:p>
          <w:p w:rsidR="006062AD" w:rsidRPr="00D013D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013DE">
              <w:rPr>
                <w:rFonts w:ascii="Times New Roman" w:hAnsi="Times New Roman"/>
                <w:lang w:val="en-US"/>
              </w:rPr>
              <w:t>Dalloz</w:t>
            </w:r>
            <w:proofErr w:type="spellEnd"/>
            <w:r w:rsidRPr="00D013DE">
              <w:rPr>
                <w:rFonts w:ascii="Times New Roman" w:hAnsi="Times New Roman"/>
                <w:lang w:val="en-US"/>
              </w:rPr>
              <w:t>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D013DE">
                <w:rPr>
                  <w:rStyle w:val="a3"/>
                  <w:rFonts w:ascii="Times New Roman" w:hAnsi="Times New Roman"/>
                  <w:lang w:val="en-US"/>
                </w:rPr>
                <w:t>https://www.dalloz.fr/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Droit et institutions de l’Union Européenne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"https://www.europarl.europa.eu/portal/fr"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https://www.europarl.europa.eu/portal/fr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Fond monétaire international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https://www.imf.org/fr/Home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Jurisguide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"https://jurisguide.fr/fiches-pedagogiques/legislation-en-ligne-panorama/"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https://jurisguide.fr/fiches-pedagogiques/legislation-en-ligne-panorama/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Légifrance : https://www.legifrance.gouv.fr/</w:t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OCDE : </w:t>
            </w:r>
            <w:r w:rsidRPr="0011640E">
              <w:rPr>
                <w:rFonts w:ascii="Times New Roman" w:hAnsi="Times New Roman"/>
                <w:lang w:val="fr-FR"/>
              </w:rPr>
              <w:fldChar w:fldCharType="begin"/>
            </w:r>
            <w:r w:rsidRPr="0011640E">
              <w:rPr>
                <w:rFonts w:ascii="Times New Roman" w:hAnsi="Times New Roman"/>
                <w:lang w:val="fr-FR"/>
              </w:rPr>
              <w:instrText xml:space="preserve"> HYPERLINK "https://www.oecd.org/" </w:instrText>
            </w:r>
            <w:r w:rsidRPr="0011640E">
              <w:rPr>
                <w:rFonts w:ascii="Times New Roman" w:hAnsi="Times New Roman"/>
                <w:lang w:val="fr-FR"/>
              </w:rPr>
              <w:fldChar w:fldCharType="separate"/>
            </w:r>
            <w:r w:rsidRPr="0011640E">
              <w:rPr>
                <w:rStyle w:val="a3"/>
                <w:rFonts w:ascii="Times New Roman" w:hAnsi="Times New Roman"/>
                <w:lang w:val="fr-FR"/>
              </w:rPr>
              <w:t>https://www.oecd.org/</w:t>
            </w:r>
            <w:r w:rsidRPr="0011640E">
              <w:rPr>
                <w:rFonts w:ascii="Times New Roman" w:hAnsi="Times New Roman"/>
                <w:lang w:val="fr-FR"/>
              </w:rPr>
              <w:fldChar w:fldCharType="end"/>
            </w:r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de la propriété intellectuelle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https://www.wipo.int/portal/fr/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de la santé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https://www.who.int/fr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des douanes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http://www.wcoomd.org/fr.aspx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des Nations Unies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https://www.un.org/fr/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Organisation mondiale du commerce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https://www.wto.org/indexfr.htm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Portail de l’Union Européenne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https://europa.eu/european-union/index_fr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Ridi (réseau internet pour le droit international)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http://www.ridi.org/</w:t>
              </w:r>
            </w:hyperlink>
          </w:p>
          <w:p w:rsidR="006062AD" w:rsidRPr="0011640E" w:rsidRDefault="006062AD" w:rsidP="006062AD">
            <w:pPr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UNESCO (conventions internationales):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https://en.unesco.org/</w:t>
              </w:r>
            </w:hyperlink>
          </w:p>
          <w:p w:rsidR="00A45B03" w:rsidRPr="006062AD" w:rsidRDefault="006062AD" w:rsidP="006062AD">
            <w:pPr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Village de la Justice :</w:t>
            </w:r>
            <w:r w:rsidRPr="0011640E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11640E">
                <w:rPr>
                  <w:rStyle w:val="a3"/>
                  <w:rFonts w:ascii="Times New Roman" w:hAnsi="Times New Roman"/>
                  <w:lang w:val="fr-FR"/>
                </w:rPr>
                <w:t>https://www.village-justice.com/articles/</w:t>
              </w:r>
            </w:hyperlink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0044C5" w:rsidRDefault="00A45B03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1 семестр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C84956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956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C84956" w:rsidRDefault="00A45B03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Курс складається зі 105 годин, з них 32 годин практичних занять та 73 години самостійної роботи.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5" w:rsidRDefault="004041C5" w:rsidP="004041C5">
            <w:pPr>
              <w:ind w:firstLine="709"/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eastAsia="Times New Roman" w:hAnsi="Times New Roman"/>
                <w:b/>
              </w:rPr>
              <w:t>Знати:</w:t>
            </w:r>
            <w:r w:rsidRPr="0011640E">
              <w:rPr>
                <w:rFonts w:ascii="Times New Roman" w:eastAsia="Times New Roman" w:hAnsi="Times New Roman"/>
              </w:rPr>
              <w:t xml:space="preserve"> основні поняття міжнародного права французькою мовою; розуміти функціонування європейських та міжнародних інституцій та принципи взаємодії із ними; </w:t>
            </w:r>
            <w:r w:rsidRPr="0011640E">
              <w:rPr>
                <w:rFonts w:ascii="Times New Roman" w:hAnsi="Times New Roman"/>
              </w:rPr>
              <w:t xml:space="preserve">характерні для юридичного дискурсу прагматичні стратегії мовленнєвого впливу (як утвердження, переконання, доведення та аргументація), стратегії ухилення (відмова від відповіді, ухилення від теми, намагання уникнути розмови), </w:t>
            </w:r>
            <w:proofErr w:type="spellStart"/>
            <w:r w:rsidRPr="0011640E">
              <w:rPr>
                <w:rFonts w:ascii="Times New Roman" w:hAnsi="Times New Roman"/>
              </w:rPr>
              <w:t>паралінгвістичні</w:t>
            </w:r>
            <w:proofErr w:type="spellEnd"/>
            <w:r w:rsidRPr="0011640E">
              <w:rPr>
                <w:rFonts w:ascii="Times New Roman" w:hAnsi="Times New Roman"/>
              </w:rPr>
              <w:t xml:space="preserve"> стратегії (міміка, жестикуляція), комунікативні стратегії контролю успішної комунікації (контроль розуміння, вимога або прохання надати пояснення, використання пауз), </w:t>
            </w:r>
            <w:proofErr w:type="spellStart"/>
            <w:r w:rsidRPr="0011640E">
              <w:rPr>
                <w:rFonts w:ascii="Times New Roman" w:hAnsi="Times New Roman"/>
              </w:rPr>
              <w:t>маніпулятивні</w:t>
            </w:r>
            <w:proofErr w:type="spellEnd"/>
            <w:r w:rsidRPr="0011640E">
              <w:rPr>
                <w:rFonts w:ascii="Times New Roman" w:hAnsi="Times New Roman"/>
              </w:rPr>
              <w:t xml:space="preserve"> стратегії, тощо. </w:t>
            </w:r>
          </w:p>
          <w:p w:rsidR="004041C5" w:rsidRPr="0011640E" w:rsidRDefault="004041C5" w:rsidP="004041C5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A45B03" w:rsidRPr="00F835F0" w:rsidRDefault="004041C5" w:rsidP="00F835F0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1640E">
              <w:rPr>
                <w:rFonts w:ascii="Times New Roman" w:hAnsi="Times New Roman"/>
                <w:b/>
              </w:rPr>
              <w:t>Вміти</w:t>
            </w:r>
            <w:r>
              <w:rPr>
                <w:rFonts w:ascii="Times New Roman" w:hAnsi="Times New Roman"/>
                <w:b/>
              </w:rPr>
              <w:t>:</w:t>
            </w:r>
            <w:r w:rsidRPr="0011640E">
              <w:rPr>
                <w:rFonts w:ascii="Times New Roman" w:hAnsi="Times New Roman"/>
              </w:rPr>
              <w:t xml:space="preserve"> їх реалізовувати за допомогою конкретних тактик: компенсаторних (</w:t>
            </w:r>
            <w:proofErr w:type="spellStart"/>
            <w:r w:rsidRPr="0011640E">
              <w:rPr>
                <w:rFonts w:ascii="Times New Roman" w:hAnsi="Times New Roman"/>
              </w:rPr>
              <w:t>перефраз</w:t>
            </w:r>
            <w:proofErr w:type="spellEnd"/>
            <w:r w:rsidRPr="0011640E">
              <w:rPr>
                <w:rFonts w:ascii="Times New Roman" w:hAnsi="Times New Roman"/>
              </w:rPr>
              <w:t>, добір синонімів й ін.), афективних (зменшення хвилювання й ін.), використання мови в продуктивних видах мовленнєвої діяльності (відбір лексичного і граматичного матеріалу, уточнення комунікативного наміру, ініціювання діалогу, завершення діалогу й ін.)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Французька мова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професійного спрямування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835F0">
              <w:rPr>
                <w:rFonts w:ascii="Times New Roman" w:eastAsia="Times New Roman" w:hAnsi="Times New Roman"/>
              </w:rPr>
              <w:t>п</w:t>
            </w:r>
            <w:r w:rsidR="00F835F0" w:rsidRPr="0011640E">
              <w:rPr>
                <w:rFonts w:ascii="Times New Roman" w:eastAsia="Times New Roman" w:hAnsi="Times New Roman"/>
              </w:rPr>
              <w:t>рофесійна комунікація, комунікативна стратегія, міжнародне право</w:t>
            </w:r>
            <w:r w:rsidR="00F835F0">
              <w:rPr>
                <w:rFonts w:ascii="Times New Roman" w:eastAsia="Times New Roman" w:hAnsi="Times New Roman"/>
              </w:rPr>
              <w:t>,</w:t>
            </w:r>
            <w:r w:rsidR="00F835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термінологічна 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лексика, граматика, читання, говоріння, слухання,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,</w:t>
            </w:r>
            <w:r w:rsidRPr="009E25CA">
              <w:rPr>
                <w:rStyle w:val="20"/>
                <w:rFonts w:eastAsia="DejaVu Sans"/>
              </w:rPr>
              <w:t xml:space="preserve"> м</w:t>
            </w:r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овна та мовленнєва компетентність,  навички усної та писемної </w:t>
            </w:r>
            <w:proofErr w:type="spellStart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комунікаціїї</w:t>
            </w:r>
            <w:proofErr w:type="spellEnd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соціокультурний аспект.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Очний. 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Курс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передбачає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практичні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аудиторні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заняття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самостійну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роботу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студенті</w:t>
            </w:r>
            <w:proofErr w:type="gram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Default="00A45B03" w:rsidP="00EF1005">
            <w:pPr>
              <w:contextualSpacing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E25CA">
              <w:rPr>
                <w:rFonts w:ascii="Times New Roman" w:hAnsi="Times New Roman"/>
                <w:spacing w:val="-4"/>
                <w:sz w:val="22"/>
                <w:szCs w:val="22"/>
              </w:rPr>
              <w:t>Подані у СХЕМІ КУРСУ</w:t>
            </w:r>
          </w:p>
          <w:p w:rsidR="00A115DF" w:rsidRPr="0011640E" w:rsidRDefault="00A115DF" w:rsidP="00A115DF">
            <w:pPr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Змістовий модуль 1. </w:t>
            </w:r>
            <w:proofErr w:type="spellStart"/>
            <w:r w:rsidRPr="0011640E">
              <w:rPr>
                <w:rFonts w:ascii="Times New Roman" w:hAnsi="Times New Roman"/>
                <w:b/>
              </w:rPr>
              <w:t>Comprendre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cadre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de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la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vie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juridique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internationale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Différentes branches du droit :  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comprendre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>.</w:t>
            </w:r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Différent</w:t>
            </w:r>
            <w:r w:rsidR="00380B57">
              <w:rPr>
                <w:rFonts w:ascii="Times New Roman" w:hAnsi="Times New Roman"/>
              </w:rPr>
              <w:t>е</w:t>
            </w:r>
            <w:r w:rsidRPr="0011640E">
              <w:rPr>
                <w:rFonts w:ascii="Times New Roman" w:hAnsi="Times New Roman"/>
                <w:lang w:val="fr-FR"/>
              </w:rPr>
              <w:t xml:space="preserve">s sources du droit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dégager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sources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écrites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élaborer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traité</w:t>
            </w:r>
            <w:proofErr w:type="spellEnd"/>
            <w:r w:rsidRPr="0011640E">
              <w:rPr>
                <w:rFonts w:ascii="Times New Roman" w:hAnsi="Times New Roman"/>
                <w:i/>
              </w:rPr>
              <w:t>.</w:t>
            </w:r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Métiers du droit international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trouver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convenable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France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; </w:t>
            </w:r>
            <w:r w:rsidRPr="0011640E">
              <w:rPr>
                <w:rFonts w:ascii="Times New Roman" w:hAnsi="Times New Roman"/>
                <w:i/>
                <w:lang w:val="fr-FR"/>
              </w:rPr>
              <w:t>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démarches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administratives</w:t>
            </w:r>
            <w:proofErr w:type="spellEnd"/>
            <w:r w:rsidRPr="0011640E">
              <w:rPr>
                <w:rFonts w:ascii="Times New Roman" w:hAnsi="Times New Roman"/>
                <w:i/>
              </w:rPr>
              <w:t> </w:t>
            </w:r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4.</w:t>
            </w:r>
            <w:r w:rsidRPr="0011640E">
              <w:rPr>
                <w:rFonts w:ascii="Times New Roman" w:hAnsi="Times New Roman"/>
                <w:lang w:val="fr-FR"/>
              </w:rPr>
              <w:t xml:space="preserve"> Organisations internationales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communiquer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avec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organisation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lors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recherche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d’un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stage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professionnel</w:t>
            </w:r>
            <w:proofErr w:type="spellEnd"/>
            <w:r w:rsidRPr="0011640E">
              <w:rPr>
                <w:rFonts w:ascii="Times New Roman" w:hAnsi="Times New Roman"/>
                <w:i/>
                <w:lang w:val="fr-FR"/>
              </w:rPr>
              <w:t>.</w:t>
            </w:r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5.</w:t>
            </w:r>
            <w:r w:rsidRPr="0011640E">
              <w:rPr>
                <w:rFonts w:ascii="Times New Roman" w:hAnsi="Times New Roman"/>
                <w:lang w:val="fr-FR"/>
              </w:rPr>
              <w:t xml:space="preserve"> Droit de l’Union Européenne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comparer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lastRenderedPageBreak/>
              <w:t>fonctionnement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communautaire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celui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français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l’impliquer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pratique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 xml:space="preserve">Змістовий модуль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  <w:b/>
              </w:rPr>
              <w:t>Communiquer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avec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institutions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et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autres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organes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de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l’Union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Européenne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="00D435B1">
              <w:rPr>
                <w:rFonts w:ascii="Times New Roman" w:hAnsi="Times New Roman"/>
                <w:i/>
              </w:rPr>
              <w:t>Stratégies</w:t>
            </w:r>
            <w:proofErr w:type="spellEnd"/>
            <w:r w:rsidR="00D435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435B1">
              <w:rPr>
                <w:rFonts w:ascii="Times New Roman" w:hAnsi="Times New Roman"/>
                <w:i/>
              </w:rPr>
              <w:t>pour</w:t>
            </w:r>
            <w:proofErr w:type="spellEnd"/>
            <w:r w:rsidR="00D435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435B1">
              <w:rPr>
                <w:rFonts w:ascii="Times New Roman" w:hAnsi="Times New Roman"/>
                <w:i/>
              </w:rPr>
              <w:t>faire</w:t>
            </w:r>
            <w:proofErr w:type="spellEnd"/>
            <w:r w:rsidR="00D435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435B1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exposé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valeurs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="00D435B1">
              <w:rPr>
                <w:rFonts w:ascii="Times New Roman" w:hAnsi="Times New Roman"/>
                <w:i/>
                <w:lang w:val="fr-FR"/>
              </w:rPr>
              <w:t xml:space="preserve">de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l’Union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Européenne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Parlement Européen.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présenter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pétition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Conseil Européenne.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s’adresser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service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d’information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public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4.</w:t>
            </w:r>
            <w:r w:rsidRPr="0011640E">
              <w:rPr>
                <w:rFonts w:ascii="Times New Roman" w:hAnsi="Times New Roman"/>
                <w:lang w:val="fr-FR"/>
              </w:rPr>
              <w:t xml:space="preserve"> Conseil de l’Union Européenne.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rédiger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procès-verbal</w:t>
            </w:r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 xml:space="preserve"> 5.</w:t>
            </w:r>
            <w:r w:rsidRPr="0011640E">
              <w:rPr>
                <w:rFonts w:ascii="Times New Roman" w:hAnsi="Times New Roman"/>
                <w:lang w:val="fr-FR"/>
              </w:rPr>
              <w:t xml:space="preserve"> Commission Européenne. 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lancer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initiative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européenne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Змістовий модуль 3.</w:t>
            </w:r>
            <w:r w:rsidRPr="0011640E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Interagir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avec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les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institutions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judiciaires</w:t>
            </w:r>
            <w:proofErr w:type="spellEnd"/>
            <w:r w:rsidRPr="0011640E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interantionales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et</w:t>
            </w:r>
            <w:proofErr w:type="spellEnd"/>
            <w:r w:rsidRPr="0011640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b/>
              </w:rPr>
              <w:t>européennes</w:t>
            </w:r>
            <w:proofErr w:type="spellEnd"/>
          </w:p>
          <w:p w:rsidR="00A115DF" w:rsidRPr="0011640E" w:rsidRDefault="00A115DF" w:rsidP="00A115DF">
            <w:pPr>
              <w:pStyle w:val="a8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 1</w:t>
            </w:r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</w:rPr>
              <w:t>Cour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justice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l</w:t>
            </w:r>
            <w:r w:rsidRPr="0011640E">
              <w:rPr>
                <w:rFonts w:ascii="Times New Roman" w:hAnsi="Times New Roman"/>
                <w:lang w:val="fr-FR"/>
              </w:rPr>
              <w:t>’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. </w:t>
            </w:r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déposer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plainte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="00D435B1">
              <w:rPr>
                <w:rFonts w:ascii="Times New Roman" w:hAnsi="Times New Roman"/>
                <w:lang w:val="fr-FR"/>
              </w:rPr>
              <w:t xml:space="preserve">  Cour Europé</w:t>
            </w:r>
            <w:r w:rsidRPr="0011640E">
              <w:rPr>
                <w:rFonts w:ascii="Times New Roman" w:hAnsi="Times New Roman"/>
                <w:lang w:val="fr-FR"/>
              </w:rPr>
              <w:t>en</w:t>
            </w:r>
            <w:r w:rsidR="00D435B1">
              <w:rPr>
                <w:rFonts w:ascii="Times New Roman" w:hAnsi="Times New Roman"/>
                <w:lang w:val="fr-FR"/>
              </w:rPr>
              <w:t>ne</w:t>
            </w:r>
            <w:r w:rsidRPr="0011640E">
              <w:rPr>
                <w:rFonts w:ascii="Times New Roman" w:hAnsi="Times New Roman"/>
                <w:lang w:val="fr-FR"/>
              </w:rPr>
              <w:t xml:space="preserve"> de</w:t>
            </w:r>
            <w:r w:rsidR="00D435B1">
              <w:rPr>
                <w:rFonts w:ascii="Times New Roman" w:hAnsi="Times New Roman"/>
                <w:lang w:val="fr-FR"/>
              </w:rPr>
              <w:t>s</w:t>
            </w:r>
            <w:r w:rsidRPr="0011640E">
              <w:rPr>
                <w:rFonts w:ascii="Times New Roman" w:hAnsi="Times New Roman"/>
                <w:lang w:val="fr-FR"/>
              </w:rPr>
              <w:t xml:space="preserve"> droit</w:t>
            </w:r>
            <w:r w:rsidR="00D435B1">
              <w:rPr>
                <w:rFonts w:ascii="Times New Roman" w:hAnsi="Times New Roman"/>
                <w:lang w:val="fr-FR"/>
              </w:rPr>
              <w:t>s</w:t>
            </w:r>
            <w:r w:rsidRPr="0011640E">
              <w:rPr>
                <w:rFonts w:ascii="Times New Roman" w:hAnsi="Times New Roman"/>
                <w:lang w:val="fr-FR"/>
              </w:rPr>
              <w:t xml:space="preserve"> de l’Homme. 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de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la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saisi</w:t>
            </w:r>
            <w:r w:rsidRPr="0011640E">
              <w:rPr>
                <w:rFonts w:ascii="Times New Roman" w:hAnsi="Times New Roman"/>
                <w:i/>
              </w:rPr>
              <w:t>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Cour Internationale de justice.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préparer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plaidoirie</w:t>
            </w:r>
            <w:proofErr w:type="spellEnd"/>
          </w:p>
          <w:p w:rsidR="00A115DF" w:rsidRPr="0011640E" w:rsidRDefault="00A115DF" w:rsidP="00A115DF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 xml:space="preserve"> 4.</w:t>
            </w:r>
            <w:r w:rsidRPr="0011640E">
              <w:rPr>
                <w:rFonts w:ascii="Times New Roman" w:hAnsi="Times New Roman"/>
              </w:rPr>
              <w:t>C</w:t>
            </w:r>
            <w:r w:rsidRPr="0011640E">
              <w:rPr>
                <w:rFonts w:ascii="Times New Roman" w:hAnsi="Times New Roman"/>
                <w:lang w:val="fr-FR"/>
              </w:rPr>
              <w:t xml:space="preserve">our pénal internationale.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recherche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do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cumentaire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préparation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dossier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</w:p>
          <w:p w:rsidR="00A115DF" w:rsidRPr="009E25CA" w:rsidRDefault="00A115DF" w:rsidP="00A115DF">
            <w:pPr>
              <w:contextualSpacing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5.</w:t>
            </w:r>
            <w:r w:rsidRPr="0011640E">
              <w:rPr>
                <w:rFonts w:ascii="Times New Roman" w:hAnsi="Times New Roman"/>
                <w:lang w:val="fr-FR"/>
              </w:rPr>
              <w:t xml:space="preserve"> Chambre arbitrale interantionale de Paris.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procéder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à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médiation</w:t>
            </w:r>
            <w:proofErr w:type="spellEnd"/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семестр – залік;</w:t>
            </w:r>
          </w:p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комбінований 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80FC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E25CA" w:rsidRDefault="00A115DF" w:rsidP="00A115DF">
            <w:pPr>
              <w:jc w:val="both"/>
              <w:rPr>
                <w:rFonts w:ascii="Times New Roman" w:eastAsia="Times New Roman" w:hAnsi="Times New Roman"/>
              </w:rPr>
            </w:pPr>
            <w:r w:rsidRPr="0011640E">
              <w:rPr>
                <w:rFonts w:ascii="Times New Roman" w:eastAsia="Times New Roman" w:hAnsi="Times New Roman"/>
              </w:rPr>
              <w:t>Для вивчення курсу студ</w:t>
            </w:r>
            <w:r>
              <w:rPr>
                <w:rFonts w:ascii="Times New Roman" w:eastAsia="Times New Roman" w:hAnsi="Times New Roman"/>
              </w:rPr>
              <w:t xml:space="preserve">енти потребують базових знань </w:t>
            </w:r>
            <w:r w:rsidRPr="0011640E">
              <w:rPr>
                <w:rFonts w:ascii="Times New Roman" w:hAnsi="Times New Roman"/>
              </w:rPr>
              <w:t xml:space="preserve">з фахових </w:t>
            </w:r>
            <w:r>
              <w:rPr>
                <w:rFonts w:ascii="Times New Roman" w:hAnsi="Times New Roman"/>
              </w:rPr>
              <w:t>філологічних та правових</w:t>
            </w:r>
            <w:r w:rsidRPr="0011640E">
              <w:rPr>
                <w:rFonts w:ascii="Times New Roman" w:hAnsi="Times New Roman"/>
              </w:rPr>
              <w:t xml:space="preserve"> дисциплін</w:t>
            </w:r>
            <w:r w:rsidRPr="0011640E">
              <w:rPr>
                <w:rFonts w:ascii="Times New Roman" w:eastAsia="Times New Roman" w:hAnsi="Times New Roman"/>
              </w:rPr>
              <w:t xml:space="preserve">, достатніх для сприйняття категоріального апарату міжнародного права, розуміння джерел  права, а також </w:t>
            </w:r>
            <w:r w:rsidRPr="0011640E">
              <w:rPr>
                <w:rFonts w:ascii="Times New Roman" w:hAnsi="Times New Roman"/>
              </w:rPr>
              <w:t xml:space="preserve">володіти </w:t>
            </w:r>
            <w:r>
              <w:rPr>
                <w:rFonts w:ascii="Times New Roman" w:hAnsi="Times New Roman"/>
              </w:rPr>
              <w:t>рівнем  мовної  компетенції  В2</w:t>
            </w:r>
            <w:r w:rsidRPr="0011640E">
              <w:rPr>
                <w:rFonts w:ascii="Times New Roman" w:hAnsi="Times New Roman"/>
              </w:rPr>
              <w:t xml:space="preserve">  згідно із Загальноєвропейськими рекомендаціями з мовної освіти, а також мати базові знання з фахових юридичних дисциплін</w:t>
            </w:r>
            <w:r w:rsidR="00A45B03" w:rsidRPr="009E25C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E25CA" w:rsidRDefault="00A45B03" w:rsidP="00EF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Колаборативне</w:t>
            </w:r>
            <w:proofErr w:type="spellEnd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 xml:space="preserve"> навчання (групові проекти), дискусії, презентації.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Ситуати</w:t>
            </w:r>
            <w:r>
              <w:rPr>
                <w:rStyle w:val="20"/>
                <w:rFonts w:eastAsia="DejaVu Sans"/>
                <w:b w:val="0"/>
                <w:bCs w:val="0"/>
              </w:rPr>
              <w:t>вне моделювання: рольова гра.  Переклади, дебати, т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ренувальні вправи.</w:t>
            </w:r>
            <w:r w:rsidR="00B23EAA" w:rsidRPr="0011640E">
              <w:rPr>
                <w:rFonts w:ascii="Times New Roman" w:eastAsia="Times New Roman" w:hAnsi="Times New Roman"/>
              </w:rPr>
              <w:t xml:space="preserve"> Метод інверсованого класу та кейс-метод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Підручники,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роздатковий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матеріал, м</w:t>
            </w:r>
            <w:r w:rsidRPr="009E25CA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ультимедійний проектор, персональний комп’ютер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смартфон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9E25CA" w:rsidRDefault="00A45B03" w:rsidP="00EF1005">
            <w:pPr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A45B03" w:rsidRPr="009E25CA" w:rsidRDefault="00A45B03" w:rsidP="00784E9D">
            <w:pPr>
              <w:numPr>
                <w:ilvl w:val="0"/>
                <w:numId w:val="1"/>
              </w:numPr>
              <w:tabs>
                <w:tab w:val="left" w:pos="28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практичні/самостійні тощо : 25% семестрової оцінки; максимальна кількість балів _25_</w:t>
            </w:r>
          </w:p>
          <w:p w:rsidR="00A45B03" w:rsidRPr="009E25CA" w:rsidRDefault="00A45B03" w:rsidP="00784E9D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контрольні заміри (модулі): 25% семестрової оцінки; максимальна кількість балів _25_</w:t>
            </w:r>
          </w:p>
          <w:p w:rsidR="00A45B03" w:rsidRPr="009E25CA" w:rsidRDefault="00A45B03" w:rsidP="00784E9D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іспит/залік: 50% семестрової оцінки. Максимальна кількість балів _50_</w:t>
            </w:r>
          </w:p>
          <w:p w:rsidR="00A45B03" w:rsidRPr="009E25CA" w:rsidRDefault="00A45B03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Підсумкова максимальна кількість балів _100_</w:t>
            </w:r>
          </w:p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</w:p>
          <w:p w:rsidR="00A45B03" w:rsidRDefault="00A45B03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Письмові роботи: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Очікується, що студенти виконають декілька видів письмових робіт (написання короткого повідомлення, електронного листа, листівки, письмових лексико-граматичних вправ). </w:t>
            </w:r>
          </w:p>
          <w:p w:rsidR="00A45B03" w:rsidRDefault="00A45B03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Академічна доброчесність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lastRenderedPageBreak/>
              <w:t xml:space="preserve">втручання в роботу інших студентів становлять, але не обмежують, приклади можливої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. Виявлення ознак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письмовій роботі студента є підставою для її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незарахуванння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викладачем, незалежно від масштабів плагіату чи обману. </w:t>
            </w:r>
          </w:p>
          <w:p w:rsidR="00A45B03" w:rsidRDefault="00A45B03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Відвід</w:t>
            </w:r>
            <w:r w:rsidRPr="00ED3107">
              <w:rPr>
                <w:rStyle w:val="2"/>
                <w:rFonts w:eastAsia="DejaVu Sans"/>
                <w:b w:val="0"/>
                <w:bCs w:val="0"/>
              </w:rPr>
              <w:t>ув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ання занять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A45B03" w:rsidRPr="009E25CA" w:rsidRDefault="00A45B03" w:rsidP="00EF1005">
            <w:pPr>
              <w:spacing w:after="240" w:line="274" w:lineRule="exact"/>
              <w:jc w:val="both"/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Література.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45B03" w:rsidRPr="009E25CA" w:rsidRDefault="00A45B03" w:rsidP="00EF1005">
            <w:pPr>
              <w:spacing w:before="240" w:after="240"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олітика виставлення балів.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Враховуються </w:t>
            </w:r>
            <w:r w:rsidRPr="00C576DD">
              <w:rPr>
                <w:rStyle w:val="20"/>
                <w:rFonts w:eastAsia="DejaVu Sans"/>
                <w:b w:val="0"/>
                <w:bCs w:val="0"/>
              </w:rPr>
              <w:t>бали, які студенти  набрали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цілях непов’язаних з навчанням; списування та плагіат; несвоєчасне виконання поставленого завдання і т. ін.</w:t>
            </w:r>
          </w:p>
          <w:p w:rsidR="00A45B03" w:rsidRPr="009E25CA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Жодні форми порушення академічної доброчесності не толеруються.</w:t>
            </w: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C4061" w:rsidRDefault="00A45B03" w:rsidP="00EF10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06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Питання до заліку/іспиту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Default="00A45B03" w:rsidP="00EF1005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Завдання із вивчених тем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Qu’est-ce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qu’on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appele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«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> »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est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sens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terme</w:t>
            </w:r>
            <w:proofErr w:type="spellEnd"/>
            <w:r w:rsidRPr="0011640E">
              <w:rPr>
                <w:rFonts w:ascii="Times New Roman" w:hAnsi="Times New Roman"/>
              </w:rPr>
              <w:t xml:space="preserve"> « 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public</w:t>
            </w:r>
            <w:proofErr w:type="spellEnd"/>
            <w:r w:rsidRPr="0011640E">
              <w:rPr>
                <w:rFonts w:ascii="Times New Roman" w:hAnsi="Times New Roman"/>
              </w:rPr>
              <w:t> »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Qu’est-ce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qu’on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entend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sous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terme</w:t>
            </w:r>
            <w:proofErr w:type="spellEnd"/>
            <w:r w:rsidRPr="0011640E">
              <w:rPr>
                <w:rFonts w:ascii="Times New Roman" w:hAnsi="Times New Roman"/>
              </w:rPr>
              <w:t xml:space="preserve"> « 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privé</w:t>
            </w:r>
            <w:proofErr w:type="spellEnd"/>
            <w:r w:rsidRPr="0011640E">
              <w:rPr>
                <w:rFonts w:ascii="Times New Roman" w:hAnsi="Times New Roman"/>
              </w:rPr>
              <w:t> »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branches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public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métiers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 xml:space="preserve"> 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principales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spécialisations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l’avocat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Expliquez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système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l’enseignement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supérieur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juridique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France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</w:rPr>
              <w:t>Quelles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universités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françaises</w:t>
            </w:r>
            <w:proofErr w:type="spellEnd"/>
            <w:r w:rsidRPr="0011640E">
              <w:rPr>
                <w:rFonts w:ascii="Times New Roman" w:hAnsi="Times New Roman"/>
              </w:rPr>
              <w:t xml:space="preserve"> préparent-elles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futurs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professionnels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Donnez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définition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d’une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organisation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</w:rPr>
              <w:t>Que</w:t>
            </w:r>
            <w:proofErr w:type="spellEnd"/>
            <w:r w:rsidR="005004DD">
              <w:rPr>
                <w:rFonts w:ascii="Times New Roman" w:hAnsi="Times New Roman"/>
                <w:lang w:val="fr-FR"/>
              </w:rPr>
              <w:t>l</w:t>
            </w:r>
            <w:r w:rsidRPr="0011640E">
              <w:rPr>
                <w:rFonts w:ascii="Times New Roman" w:hAnsi="Times New Roman"/>
              </w:rPr>
              <w:t>l</w:t>
            </w:r>
            <w:r w:rsidR="005004DD">
              <w:rPr>
                <w:rFonts w:ascii="Times New Roman" w:hAnsi="Times New Roman"/>
                <w:lang w:val="fr-FR"/>
              </w:rPr>
              <w:t>e</w:t>
            </w:r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est</w:t>
            </w:r>
            <w:proofErr w:type="spellEnd"/>
            <w:r w:rsidR="005004DD">
              <w:rPr>
                <w:rFonts w:ascii="Times New Roman" w:hAnsi="Times New Roman"/>
                <w:lang w:val="fr-FR"/>
              </w:rPr>
              <w:t xml:space="preserve"> sa</w:t>
            </w:r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mission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11640E" w:rsidRDefault="00B23EAA" w:rsidP="00B23EA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Quelle est la fonction de la </w:t>
            </w:r>
            <w:proofErr w:type="spellStart"/>
            <w:r w:rsidRPr="0011640E">
              <w:rPr>
                <w:rFonts w:ascii="Times New Roman" w:hAnsi="Times New Roman"/>
              </w:rPr>
              <w:t>Cour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pénale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internationale</w:t>
            </w:r>
            <w:proofErr w:type="spellEnd"/>
            <w:r w:rsidRPr="0011640E">
              <w:rPr>
                <w:rFonts w:ascii="Times New Roman" w:hAnsi="Times New Roman"/>
              </w:rPr>
              <w:t> </w:t>
            </w:r>
            <w:r w:rsidRPr="0011640E">
              <w:rPr>
                <w:rFonts w:ascii="Times New Roman" w:hAnsi="Times New Roman"/>
                <w:lang w:val="fr-FR"/>
              </w:rPr>
              <w:t>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Présentez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sources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>.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11640E">
              <w:rPr>
                <w:rFonts w:ascii="Times New Roman" w:hAnsi="Times New Roman"/>
              </w:rPr>
              <w:t>Combien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d’États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membres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appartiennent</w:t>
            </w:r>
            <w:proofErr w:type="spellEnd"/>
            <w:r w:rsidRPr="0011640E">
              <w:rPr>
                <w:rFonts w:ascii="Times New Roman" w:hAnsi="Times New Roman"/>
              </w:rPr>
              <w:t xml:space="preserve"> à </w:t>
            </w:r>
            <w:proofErr w:type="spellStart"/>
            <w:r w:rsidRPr="0011640E">
              <w:rPr>
                <w:rFonts w:ascii="Times New Roman" w:hAnsi="Times New Roman"/>
              </w:rPr>
              <w:t>l’Union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 ? </w:t>
            </w:r>
            <w:proofErr w:type="spellStart"/>
            <w:r w:rsidRPr="0011640E">
              <w:rPr>
                <w:rFonts w:ascii="Times New Roman" w:hAnsi="Times New Roman"/>
              </w:rPr>
              <w:t>Qu’est-ce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qui</w:t>
            </w:r>
            <w:proofErr w:type="spellEnd"/>
            <w:r w:rsidRPr="0011640E">
              <w:rPr>
                <w:rFonts w:ascii="Times New Roman" w:hAnsi="Times New Roman"/>
              </w:rPr>
              <w:t xml:space="preserve"> a </w:t>
            </w:r>
            <w:proofErr w:type="spellStart"/>
            <w:r w:rsidRPr="0011640E">
              <w:rPr>
                <w:rFonts w:ascii="Times New Roman" w:hAnsi="Times New Roman"/>
              </w:rPr>
              <w:t>changé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31 </w:t>
            </w:r>
            <w:proofErr w:type="spellStart"/>
            <w:r w:rsidRPr="0011640E">
              <w:rPr>
                <w:rFonts w:ascii="Times New Roman" w:hAnsi="Times New Roman"/>
              </w:rPr>
              <w:t>janvier</w:t>
            </w:r>
            <w:proofErr w:type="spellEnd"/>
            <w:r w:rsidRPr="0011640E">
              <w:rPr>
                <w:rFonts w:ascii="Times New Roman" w:hAnsi="Times New Roman"/>
              </w:rPr>
              <w:t xml:space="preserve"> 2020?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En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quoi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réside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particularité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l’UE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est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l’année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création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Communauté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économique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 (CEE) 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Dans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quels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doma</w:t>
            </w:r>
            <w:r w:rsidR="005004DD">
              <w:rPr>
                <w:rFonts w:ascii="Times New Roman" w:hAnsi="Times New Roman"/>
              </w:rPr>
              <w:t>ines</w:t>
            </w:r>
            <w:proofErr w:type="spellEnd"/>
            <w:r w:rsidR="005004DD">
              <w:rPr>
                <w:rFonts w:ascii="Times New Roman" w:hAnsi="Times New Roman"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</w:rPr>
              <w:t>l’Union</w:t>
            </w:r>
            <w:proofErr w:type="spellEnd"/>
            <w:r w:rsidR="005004DD">
              <w:rPr>
                <w:rFonts w:ascii="Times New Roman" w:hAnsi="Times New Roman"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</w:rPr>
              <w:t>européenne</w:t>
            </w:r>
            <w:proofErr w:type="spellEnd"/>
            <w:r w:rsidR="005004DD">
              <w:rPr>
                <w:rFonts w:ascii="Times New Roman" w:hAnsi="Times New Roman"/>
              </w:rPr>
              <w:t xml:space="preserve"> a-t-</w:t>
            </w:r>
            <w:r w:rsidR="005004DD">
              <w:rPr>
                <w:rFonts w:ascii="Times New Roman" w:hAnsi="Times New Roman"/>
                <w:lang w:val="fr-FR"/>
              </w:rPr>
              <w:t>elle</w:t>
            </w:r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objectif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développer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marché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unique</w:t>
            </w:r>
            <w:proofErr w:type="spellEnd"/>
            <w:r w:rsidRPr="0011640E">
              <w:rPr>
                <w:rFonts w:ascii="Times New Roman" w:hAnsi="Times New Roman"/>
              </w:rPr>
              <w:t>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type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pouvoir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Parlement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</w:t>
            </w:r>
            <w:proofErr w:type="spellEnd"/>
            <w:r w:rsidRPr="0011640E">
              <w:rPr>
                <w:rFonts w:ascii="Times New Roman" w:hAnsi="Times New Roman"/>
              </w:rPr>
              <w:t xml:space="preserve"> exerce-t-il 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Définissez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trois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rôles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principaux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du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Parlement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</w:t>
            </w:r>
            <w:proofErr w:type="spellEnd"/>
            <w:r w:rsidRPr="0011640E">
              <w:rPr>
                <w:rFonts w:ascii="Times New Roman" w:hAnsi="Times New Roman"/>
              </w:rPr>
              <w:t>.</w:t>
            </w:r>
          </w:p>
          <w:p w:rsidR="00B23EAA" w:rsidRPr="0011640E" w:rsidRDefault="00B23EAA" w:rsidP="00B23EA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>Quel est le rôle et les fonctions de la Commission Européenne ?</w:t>
            </w:r>
          </w:p>
          <w:p w:rsidR="00B23EAA" w:rsidRPr="0011640E" w:rsidRDefault="00B23EAA" w:rsidP="00B23EA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lang w:val="fr-FR"/>
              </w:rPr>
              <w:t xml:space="preserve">Quelles sont les tâches principales de la </w:t>
            </w:r>
            <w:proofErr w:type="spellStart"/>
            <w:r w:rsidRPr="0011640E">
              <w:rPr>
                <w:rFonts w:ascii="Times New Roman" w:hAnsi="Times New Roman"/>
              </w:rPr>
              <w:t>Cour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justice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l</w:t>
            </w:r>
            <w:r w:rsidRPr="0011640E">
              <w:rPr>
                <w:rFonts w:ascii="Times New Roman" w:hAnsi="Times New Roman"/>
                <w:lang w:val="fr-FR"/>
              </w:rPr>
              <w:t>’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11640E" w:rsidRDefault="00B23EAA" w:rsidP="00B23EA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11640E">
              <w:rPr>
                <w:rFonts w:ascii="Times New Roman" w:hAnsi="Times New Roman"/>
              </w:rPr>
              <w:lastRenderedPageBreak/>
              <w:t>Comment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fonctionne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CJUE?</w:t>
            </w:r>
          </w:p>
          <w:p w:rsidR="00B23EAA" w:rsidRPr="0011640E" w:rsidRDefault="00B23EAA" w:rsidP="00B23EAA">
            <w:pPr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1640E">
              <w:rPr>
                <w:rFonts w:ascii="Times New Roman" w:hAnsi="Times New Roman"/>
              </w:rPr>
              <w:t>Quelle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est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date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création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la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Cour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droits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l’homme</w:t>
            </w:r>
            <w:proofErr w:type="spellEnd"/>
            <w:r w:rsidRPr="0011640E">
              <w:rPr>
                <w:rFonts w:ascii="Times New Roman" w:hAnsi="Times New Roman"/>
              </w:rPr>
              <w:t> ?</w:t>
            </w:r>
          </w:p>
          <w:p w:rsidR="00B23EAA" w:rsidRPr="00E92766" w:rsidRDefault="00B23EAA" w:rsidP="00EF1005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03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03" w:rsidRPr="00A80FC5" w:rsidRDefault="00A45B03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A80FC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</w:t>
            </w:r>
            <w:r>
              <w:rPr>
                <w:rFonts w:ascii="Times New Roman" w:eastAsia="Times New Roman" w:hAnsi="Times New Roman"/>
              </w:rPr>
              <w:t>ісля</w:t>
            </w:r>
            <w:r w:rsidRPr="00A80FC5">
              <w:rPr>
                <w:rFonts w:ascii="Times New Roman" w:eastAsia="Times New Roman" w:hAnsi="Times New Roman"/>
              </w:rPr>
              <w:t xml:space="preserve"> завершенню курсу.</w:t>
            </w:r>
          </w:p>
        </w:tc>
      </w:tr>
    </w:tbl>
    <w:p w:rsidR="00784E9D" w:rsidRDefault="00784E9D" w:rsidP="00784E9D">
      <w:pPr>
        <w:rPr>
          <w:b/>
          <w:bCs/>
        </w:rPr>
      </w:pP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Схема курсу </w:t>
      </w: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“</w:t>
      </w:r>
      <w:r>
        <w:rPr>
          <w:rStyle w:val="markedcontent"/>
          <w:rFonts w:ascii="Times New Roman" w:hAnsi="Times New Roman" w:cs="Times New Roman"/>
          <w:b/>
          <w:bCs/>
        </w:rPr>
        <w:t>І</w:t>
      </w:r>
      <w:r w:rsidRPr="00AC4061">
        <w:rPr>
          <w:rStyle w:val="markedcontent"/>
          <w:rFonts w:ascii="Times New Roman" w:hAnsi="Times New Roman" w:cs="Times New Roman"/>
          <w:b/>
          <w:bCs/>
        </w:rPr>
        <w:t>ноземна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7B1967">
        <w:rPr>
          <w:rStyle w:val="markedcontent"/>
          <w:rFonts w:ascii="Times New Roman" w:hAnsi="Times New Roman" w:cs="Times New Roman"/>
          <w:b/>
          <w:bCs/>
        </w:rPr>
        <w:t xml:space="preserve">правнича </w:t>
      </w:r>
      <w:r w:rsidRPr="00AC4061">
        <w:rPr>
          <w:rStyle w:val="markedcontent"/>
          <w:rFonts w:ascii="Times New Roman" w:hAnsi="Times New Roman" w:cs="Times New Roman"/>
          <w:b/>
          <w:bCs/>
        </w:rPr>
        <w:t>мова (</w:t>
      </w:r>
      <w:r>
        <w:rPr>
          <w:rStyle w:val="markedcontent"/>
          <w:rFonts w:ascii="Times New Roman" w:hAnsi="Times New Roman" w:cs="Times New Roman"/>
          <w:b/>
          <w:bCs/>
        </w:rPr>
        <w:t>французька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)” для студентів </w:t>
      </w:r>
      <w:r w:rsidR="00103273">
        <w:rPr>
          <w:rStyle w:val="markedcontent"/>
          <w:rFonts w:ascii="Times New Roman" w:hAnsi="Times New Roman" w:cs="Times New Roman"/>
          <w:b/>
          <w:bCs/>
        </w:rPr>
        <w:t>І</w:t>
      </w:r>
      <w:r>
        <w:rPr>
          <w:rStyle w:val="markedcontent"/>
          <w:rFonts w:ascii="Times New Roman" w:hAnsi="Times New Roman" w:cs="Times New Roman"/>
          <w:b/>
          <w:bCs/>
        </w:rPr>
        <w:t>-го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курсу,</w:t>
      </w: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н.р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>. 202</w:t>
      </w:r>
      <w:r w:rsidR="001C6843">
        <w:rPr>
          <w:rStyle w:val="markedcontent"/>
          <w:rFonts w:ascii="Times New Roman" w:hAnsi="Times New Roman" w:cs="Times New Roman"/>
          <w:b/>
          <w:bCs/>
        </w:rPr>
        <w:t>2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– 202</w:t>
      </w:r>
      <w:r w:rsidR="001C6843">
        <w:rPr>
          <w:rStyle w:val="markedcontent"/>
          <w:rFonts w:ascii="Times New Roman" w:hAnsi="Times New Roman" w:cs="Times New Roman"/>
          <w:b/>
          <w:bCs/>
        </w:rPr>
        <w:t>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119"/>
        <w:gridCol w:w="1984"/>
        <w:gridCol w:w="1418"/>
        <w:gridCol w:w="1559"/>
        <w:gridCol w:w="1559"/>
      </w:tblGrid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Тиж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Тема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план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короткі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тези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Література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.***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Ресурси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 в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інтернеті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Завдання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Термін</w:t>
            </w:r>
            <w:proofErr w:type="spellEnd"/>
            <w:r w:rsidRPr="0011640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11640E">
              <w:rPr>
                <w:rFonts w:ascii="Times New Roman" w:eastAsia="Times New Roman" w:hAnsi="Times New Roman"/>
                <w:lang w:val="en-US"/>
              </w:rPr>
              <w:t>виконання</w:t>
            </w:r>
            <w:proofErr w:type="spellEnd"/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 xml:space="preserve">Тиж.1 </w:t>
            </w:r>
          </w:p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Différentes branches du droit :  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comprendre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групова робота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Конспектування, діалог з викладачем, дискусія 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 xml:space="preserve">Тиж.1 </w:t>
            </w:r>
          </w:p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Тиж.2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Différents sources du droit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dégager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sources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écrites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élaborer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traité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в письмовій формі, аналіз юридичних текстів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Тиж.2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Тиж.3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Métiers du droit international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trouver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convenable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France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; </w:t>
            </w:r>
            <w:r w:rsidRPr="0011640E">
              <w:rPr>
                <w:rFonts w:ascii="Times New Roman" w:hAnsi="Times New Roman"/>
                <w:i/>
                <w:lang w:val="fr-FR"/>
              </w:rPr>
              <w:t>s</w:t>
            </w:r>
            <w:proofErr w:type="spellStart"/>
            <w:r w:rsidRPr="0011640E">
              <w:rPr>
                <w:rFonts w:ascii="Times New Roman" w:hAnsi="Times New Roman"/>
                <w:i/>
              </w:rPr>
              <w:t>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démarches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administratives</w:t>
            </w:r>
            <w:proofErr w:type="spellEnd"/>
            <w:r w:rsidRPr="0011640E">
              <w:rPr>
                <w:rFonts w:ascii="Times New Roman" w:hAnsi="Times New Roman"/>
                <w:i/>
              </w:rPr>
              <w:t> 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презентації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Конспектування, діалог з викладачем, дискусія 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Тиж.3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Тиж.4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4.</w:t>
            </w:r>
            <w:r w:rsidRPr="0011640E">
              <w:rPr>
                <w:rFonts w:ascii="Times New Roman" w:hAnsi="Times New Roman"/>
                <w:lang w:val="fr-FR"/>
              </w:rPr>
              <w:t xml:space="preserve"> Organisations internationales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communiquer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avec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organisation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internationale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lors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r w:rsidR="005004DD">
              <w:rPr>
                <w:rFonts w:ascii="Times New Roman" w:hAnsi="Times New Roman"/>
                <w:i/>
                <w:lang w:val="fr-FR"/>
              </w:rPr>
              <w:t xml:space="preserve">la </w:t>
            </w:r>
            <w:proofErr w:type="spellStart"/>
            <w:r w:rsidRPr="0011640E">
              <w:rPr>
                <w:rFonts w:ascii="Times New Roman" w:hAnsi="Times New Roman"/>
                <w:i/>
              </w:rPr>
              <w:t>recherche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d’un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stage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professionnel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Виконання індивідуальних завдань в письмовій формі, написання </w:t>
            </w:r>
            <w:proofErr w:type="spellStart"/>
            <w:r w:rsidRPr="0011640E">
              <w:rPr>
                <w:rFonts w:ascii="Times New Roman" w:hAnsi="Times New Roman"/>
              </w:rPr>
              <w:t>мотиваціного</w:t>
            </w:r>
            <w:proofErr w:type="spellEnd"/>
            <w:r w:rsidRPr="0011640E">
              <w:rPr>
                <w:rFonts w:ascii="Times New Roman" w:hAnsi="Times New Roman"/>
              </w:rPr>
              <w:t xml:space="preserve"> листа та звернення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Тиж.4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Тиж.5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5.</w:t>
            </w:r>
            <w:r w:rsidRPr="0011640E">
              <w:rPr>
                <w:rFonts w:ascii="Times New Roman" w:hAnsi="Times New Roman"/>
                <w:lang w:val="fr-FR"/>
              </w:rPr>
              <w:t xml:space="preserve"> Droit de l’Union Européenne :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comparer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fonctionnement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droit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communautaire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et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celui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du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droi</w:t>
            </w:r>
            <w:proofErr w:type="spellEnd"/>
            <w:r w:rsidR="005004DD">
              <w:rPr>
                <w:rFonts w:ascii="Times New Roman" w:hAnsi="Times New Roman"/>
                <w:i/>
                <w:lang w:val="fr-FR"/>
              </w:rPr>
              <w:t>t</w:t>
            </w:r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français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lastRenderedPageBreak/>
              <w:t>l’impliquer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pratique</w:t>
            </w:r>
            <w:proofErr w:type="spellEnd"/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lastRenderedPageBreak/>
              <w:t>Практичне заняття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</w:t>
            </w:r>
            <w:r w:rsidRPr="0011640E">
              <w:rPr>
                <w:rFonts w:ascii="Times New Roman" w:hAnsi="Times New Roman"/>
              </w:rPr>
              <w:lastRenderedPageBreak/>
              <w:t>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lastRenderedPageBreak/>
              <w:t xml:space="preserve">Конспектування, діалог з викладачем, дискусія 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Тиж.5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lastRenderedPageBreak/>
              <w:t>Тиж.6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  <w:b/>
              </w:rPr>
              <w:t>Тема 1.</w:t>
            </w:r>
            <w:r w:rsidRPr="0011640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="005004DD">
              <w:rPr>
                <w:rFonts w:ascii="Times New Roman" w:hAnsi="Times New Roman"/>
                <w:i/>
              </w:rPr>
              <w:t>Stratégies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pour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faire</w:t>
            </w:r>
            <w:proofErr w:type="spellEnd"/>
            <w:r w:rsidR="005004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004DD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exposé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valeurs</w:t>
            </w:r>
            <w:proofErr w:type="spellEnd"/>
            <w:r w:rsidR="005004DD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l’Union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Européenne</w:t>
            </w:r>
            <w:proofErr w:type="spellEnd"/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дебати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в усній формі, підготовка доповіді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Тиж.6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Тиж.7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Pr="0011640E">
              <w:rPr>
                <w:rFonts w:ascii="Times New Roman" w:hAnsi="Times New Roman"/>
                <w:lang w:val="fr-FR"/>
              </w:rPr>
              <w:t xml:space="preserve"> Parlement Européen.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présenter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pétition</w:t>
            </w:r>
            <w:proofErr w:type="spellEnd"/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групова робота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rPr>
                <w:rFonts w:ascii="Times New Roman" w:hAnsi="Times New Roman"/>
              </w:rPr>
            </w:pPr>
            <w:r w:rsidRPr="0011640E">
              <w:rPr>
                <w:rFonts w:ascii="Times New Roman" w:hAnsi="Times New Roman"/>
              </w:rPr>
              <w:t xml:space="preserve">Конспектування, діалог з викладачем, дискусія 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Тиж.7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Тиж.8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="005004DD">
              <w:rPr>
                <w:rFonts w:ascii="Times New Roman" w:hAnsi="Times New Roman"/>
                <w:lang w:val="fr-FR"/>
              </w:rPr>
              <w:t xml:space="preserve"> Conseil de l’Europ</w:t>
            </w:r>
            <w:r w:rsidRPr="0011640E">
              <w:rPr>
                <w:rFonts w:ascii="Times New Roman" w:hAnsi="Times New Roman"/>
                <w:lang w:val="fr-FR"/>
              </w:rPr>
              <w:t xml:space="preserve">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s’adresser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au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service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d’information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public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робота в малих групах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в письмовій формі, укладання запиту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Тиж.8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Тиж.9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4.</w:t>
            </w:r>
            <w:r w:rsidRPr="0011640E">
              <w:rPr>
                <w:rFonts w:ascii="Times New Roman" w:hAnsi="Times New Roman"/>
                <w:lang w:val="fr-FR"/>
              </w:rPr>
              <w:t xml:space="preserve"> Conseil de l’Union Européenne.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rédiger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procès-verbal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Конспектування, діалог з викладачем, дискусія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Тиж.9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Тиж.10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 xml:space="preserve"> 5.</w:t>
            </w:r>
            <w:r w:rsidRPr="0011640E">
              <w:rPr>
                <w:rFonts w:ascii="Times New Roman" w:hAnsi="Times New Roman"/>
                <w:lang w:val="fr-FR"/>
              </w:rPr>
              <w:t xml:space="preserve"> Commission Européenne. 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lancer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initiative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européenne</w:t>
            </w:r>
            <w:proofErr w:type="spellEnd"/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Виконання групового завдання в письмовій формі, створення петиції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Тиж.10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Тиж.11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pStyle w:val="a8"/>
              <w:jc w:val="both"/>
              <w:rPr>
                <w:rFonts w:ascii="Times New Roman" w:hAnsi="Times New Roman"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>Тема 1</w:t>
            </w:r>
            <w:r w:rsidRPr="0011640E">
              <w:rPr>
                <w:rFonts w:ascii="Times New Roman" w:hAnsi="Times New Roman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</w:rPr>
              <w:t>Cour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justice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de</w:t>
            </w:r>
            <w:proofErr w:type="spellEnd"/>
            <w:r w:rsidRPr="0011640E">
              <w:rPr>
                <w:rFonts w:ascii="Times New Roman" w:hAnsi="Times New Roman"/>
              </w:rPr>
              <w:t xml:space="preserve"> l</w:t>
            </w:r>
            <w:r w:rsidRPr="0011640E">
              <w:rPr>
                <w:rFonts w:ascii="Times New Roman" w:hAnsi="Times New Roman"/>
                <w:lang w:val="fr-FR"/>
              </w:rPr>
              <w:t>’</w:t>
            </w:r>
            <w:proofErr w:type="spellStart"/>
            <w:r w:rsidRPr="0011640E">
              <w:rPr>
                <w:rFonts w:ascii="Times New Roman" w:hAnsi="Times New Roman"/>
              </w:rPr>
              <w:t>Union</w:t>
            </w:r>
            <w:proofErr w:type="spellEnd"/>
            <w:r w:rsidRPr="0011640E">
              <w:rPr>
                <w:rFonts w:ascii="Times New Roman" w:hAnsi="Times New Roman"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</w:rPr>
              <w:t>européenne</w:t>
            </w:r>
            <w:proofErr w:type="spellEnd"/>
            <w:r w:rsidRPr="0011640E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déposer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plainte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Конспектування, діалог з викладачем, дискусія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Тиж.11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rPr>
          <w:trHeight w:val="346"/>
        </w:trPr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Тиж.12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hAnsi="Times New Roman"/>
                <w:i/>
                <w:lang w:val="fr-FR"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2</w:t>
            </w:r>
            <w:r w:rsidRPr="0011640E">
              <w:rPr>
                <w:rFonts w:ascii="Times New Roman" w:hAnsi="Times New Roman"/>
                <w:b/>
              </w:rPr>
              <w:t>.</w:t>
            </w:r>
            <w:r w:rsidR="005004DD">
              <w:rPr>
                <w:rFonts w:ascii="Times New Roman" w:hAnsi="Times New Roman"/>
                <w:lang w:val="fr-FR"/>
              </w:rPr>
              <w:t xml:space="preserve">  Cour Européeene</w:t>
            </w:r>
            <w:r w:rsidRPr="0011640E">
              <w:rPr>
                <w:rFonts w:ascii="Times New Roman" w:hAnsi="Times New Roman"/>
                <w:lang w:val="fr-FR"/>
              </w:rPr>
              <w:t xml:space="preserve"> de</w:t>
            </w:r>
            <w:r w:rsidR="005004DD">
              <w:rPr>
                <w:rFonts w:ascii="Times New Roman" w:hAnsi="Times New Roman"/>
                <w:lang w:val="fr-FR"/>
              </w:rPr>
              <w:t>s</w:t>
            </w:r>
            <w:r w:rsidRPr="0011640E">
              <w:rPr>
                <w:rFonts w:ascii="Times New Roman" w:hAnsi="Times New Roman"/>
                <w:lang w:val="fr-FR"/>
              </w:rPr>
              <w:t xml:space="preserve"> droit</w:t>
            </w:r>
            <w:r w:rsidR="005004DD">
              <w:rPr>
                <w:rFonts w:ascii="Times New Roman" w:hAnsi="Times New Roman"/>
                <w:lang w:val="fr-FR"/>
              </w:rPr>
              <w:t>s</w:t>
            </w:r>
            <w:r w:rsidRPr="0011640E">
              <w:rPr>
                <w:rFonts w:ascii="Times New Roman" w:hAnsi="Times New Roman"/>
                <w:lang w:val="fr-FR"/>
              </w:rPr>
              <w:t xml:space="preserve"> de l’Homme. 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saisine</w:t>
            </w:r>
            <w:proofErr w:type="spellEnd"/>
          </w:p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робота в малих групах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в письмовій формі, створення запиту до судової інстанції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Тиж.12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Тиж.13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 xml:space="preserve">Тема </w:t>
            </w:r>
            <w:r w:rsidRPr="0011640E">
              <w:rPr>
                <w:rFonts w:ascii="Times New Roman" w:hAnsi="Times New Roman"/>
                <w:b/>
                <w:lang w:val="fr-FR"/>
              </w:rPr>
              <w:t>3.</w:t>
            </w:r>
            <w:r w:rsidRPr="0011640E">
              <w:rPr>
                <w:rFonts w:ascii="Times New Roman" w:hAnsi="Times New Roman"/>
                <w:lang w:val="fr-FR"/>
              </w:rPr>
              <w:t xml:space="preserve"> Cour Internationale de justice.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préparer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une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plaidoirie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обговорення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 xml:space="preserve">Див. пункт «Література для вивчення </w:t>
            </w:r>
            <w:r w:rsidRPr="0011640E">
              <w:rPr>
                <w:rFonts w:ascii="Times New Roman" w:hAnsi="Times New Roman"/>
              </w:rPr>
              <w:lastRenderedPageBreak/>
              <w:t>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lastRenderedPageBreak/>
              <w:t>Конспектування, діалог з викладачем, дискусія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Тиж.13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lastRenderedPageBreak/>
              <w:t>Тиж.14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E61626">
              <w:rPr>
                <w:rFonts w:ascii="Times New Roman" w:hAnsi="Times New Roman"/>
                <w:b/>
              </w:rPr>
              <w:t>4.</w:t>
            </w:r>
            <w:r w:rsidR="00E61626" w:rsidRPr="00E61626">
              <w:rPr>
                <w:rFonts w:ascii="Times New Roman" w:hAnsi="Times New Roman"/>
                <w:b/>
              </w:rPr>
              <w:t xml:space="preserve"> </w:t>
            </w:r>
            <w:r w:rsidRPr="0011640E">
              <w:rPr>
                <w:rFonts w:ascii="Times New Roman" w:hAnsi="Times New Roman"/>
              </w:rPr>
              <w:t>C</w:t>
            </w:r>
            <w:r w:rsidRPr="0011640E">
              <w:rPr>
                <w:rFonts w:ascii="Times New Roman" w:hAnsi="Times New Roman"/>
                <w:lang w:val="fr-FR"/>
              </w:rPr>
              <w:t>our</w:t>
            </w:r>
            <w:r w:rsidR="00E61626">
              <w:rPr>
                <w:rFonts w:ascii="Times New Roman" w:hAnsi="Times New Roman"/>
                <w:lang w:val="fr-FR"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p</w:t>
            </w:r>
            <w:r w:rsidRPr="00E61626">
              <w:rPr>
                <w:rFonts w:ascii="Times New Roman" w:hAnsi="Times New Roman"/>
              </w:rPr>
              <w:t>é</w:t>
            </w:r>
            <w:r w:rsidRPr="0011640E">
              <w:rPr>
                <w:rFonts w:ascii="Times New Roman" w:hAnsi="Times New Roman"/>
                <w:lang w:val="fr-FR"/>
              </w:rPr>
              <w:t>nal</w:t>
            </w:r>
            <w:r w:rsidR="00E61626">
              <w:rPr>
                <w:rFonts w:ascii="Times New Roman" w:hAnsi="Times New Roman"/>
                <w:lang w:val="fr-FR"/>
              </w:rPr>
              <w:t>e</w:t>
            </w:r>
            <w:r w:rsidRPr="00E61626">
              <w:rPr>
                <w:rFonts w:ascii="Times New Roman" w:hAnsi="Times New Roman"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internationale</w:t>
            </w:r>
            <w:r w:rsidRPr="00E61626">
              <w:rPr>
                <w:rFonts w:ascii="Times New Roman" w:hAnsi="Times New Roman"/>
              </w:rPr>
              <w:t xml:space="preserve">. </w:t>
            </w:r>
            <w:proofErr w:type="spellStart"/>
            <w:r w:rsidR="00E61626">
              <w:rPr>
                <w:rFonts w:ascii="Times New Roman" w:hAnsi="Times New Roman"/>
                <w:i/>
              </w:rPr>
              <w:t>Stratégies</w:t>
            </w:r>
            <w:proofErr w:type="spellEnd"/>
            <w:r w:rsidR="00E616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61626">
              <w:rPr>
                <w:rFonts w:ascii="Times New Roman" w:hAnsi="Times New Roman"/>
                <w:i/>
              </w:rPr>
              <w:t>pour</w:t>
            </w:r>
            <w:proofErr w:type="spellEnd"/>
            <w:r w:rsidR="00E61626">
              <w:rPr>
                <w:rFonts w:ascii="Times New Roman" w:hAnsi="Times New Roman"/>
                <w:i/>
              </w:rPr>
              <w:t xml:space="preserve"> l</w:t>
            </w:r>
            <w:r w:rsidR="00E61626">
              <w:rPr>
                <w:rFonts w:ascii="Times New Roman" w:hAnsi="Times New Roman"/>
                <w:i/>
                <w:lang w:val="fr-FR"/>
              </w:rPr>
              <w:t>a</w:t>
            </w:r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recherche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documentaire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et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préparation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du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dossier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 xml:space="preserve">Практичне заняття, презентація </w:t>
            </w:r>
            <w:proofErr w:type="spellStart"/>
            <w:r w:rsidRPr="0011640E">
              <w:rPr>
                <w:rFonts w:ascii="Times New Roman" w:eastAsia="Times New Roman" w:hAnsi="Times New Roman"/>
                <w:i/>
              </w:rPr>
              <w:t>проєктів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Виконання індивідуальних завдань у вигляді відбору необхідної документації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Тиж.14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Тиж.15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  <w:b/>
              </w:rPr>
              <w:t>Тема</w:t>
            </w:r>
            <w:r w:rsidRPr="0011640E">
              <w:rPr>
                <w:rFonts w:ascii="Times New Roman" w:hAnsi="Times New Roman"/>
                <w:b/>
                <w:lang w:val="fr-FR"/>
              </w:rPr>
              <w:t xml:space="preserve"> 4.</w:t>
            </w:r>
            <w:r w:rsidRPr="0011640E">
              <w:rPr>
                <w:rFonts w:ascii="Times New Roman" w:hAnsi="Times New Roman"/>
                <w:b/>
              </w:rPr>
              <w:t xml:space="preserve"> </w:t>
            </w:r>
            <w:r w:rsidRPr="0011640E">
              <w:rPr>
                <w:rFonts w:ascii="Times New Roman" w:hAnsi="Times New Roman"/>
                <w:lang w:val="fr-FR"/>
              </w:rPr>
              <w:t>Cham</w:t>
            </w:r>
            <w:r>
              <w:rPr>
                <w:rFonts w:ascii="Times New Roman" w:hAnsi="Times New Roman"/>
                <w:lang w:val="fr-FR"/>
              </w:rPr>
              <w:t>b</w:t>
            </w:r>
            <w:r w:rsidRPr="0011640E">
              <w:rPr>
                <w:rFonts w:ascii="Times New Roman" w:hAnsi="Times New Roman"/>
                <w:lang w:val="fr-FR"/>
              </w:rPr>
              <w:t xml:space="preserve">re arbitrale interantionale de Paris. </w:t>
            </w:r>
            <w:proofErr w:type="spellStart"/>
            <w:r w:rsidRPr="0011640E">
              <w:rPr>
                <w:rFonts w:ascii="Times New Roman" w:hAnsi="Times New Roman"/>
                <w:i/>
              </w:rPr>
              <w:t>Stratégies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pour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procéder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à </w:t>
            </w:r>
            <w:proofErr w:type="spellStart"/>
            <w:r w:rsidRPr="0011640E">
              <w:rPr>
                <w:rFonts w:ascii="Times New Roman" w:hAnsi="Times New Roman"/>
                <w:i/>
              </w:rPr>
              <w:t>la</w:t>
            </w:r>
            <w:proofErr w:type="spellEnd"/>
            <w:r w:rsidRPr="001164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1640E">
              <w:rPr>
                <w:rFonts w:ascii="Times New Roman" w:hAnsi="Times New Roman"/>
                <w:i/>
              </w:rPr>
              <w:t>médiation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eastAsia="Times New Roman" w:hAnsi="Times New Roman"/>
                <w:i/>
              </w:rPr>
              <w:t>Практичне заняття, дискусія</w:t>
            </w: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Див. пункт «Література для вивчення дисципліни»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1640E">
              <w:rPr>
                <w:rFonts w:ascii="Times New Roman" w:hAnsi="Times New Roman"/>
              </w:rPr>
              <w:t>Конспектування, діалог з викладачем, дискусія</w:t>
            </w: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Тиж.15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2B3" w:rsidRPr="0011640E" w:rsidTr="00D75EC4">
        <w:tc>
          <w:tcPr>
            <w:tcW w:w="1135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Тиж.16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11640E">
              <w:rPr>
                <w:rFonts w:ascii="Times New Roman" w:eastAsia="Times New Roman" w:hAnsi="Times New Roman"/>
                <w:b/>
                <w:i/>
              </w:rPr>
              <w:t>Підсумковий контроль</w:t>
            </w:r>
          </w:p>
        </w:tc>
        <w:tc>
          <w:tcPr>
            <w:tcW w:w="1984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  <w:r w:rsidRPr="0011640E">
              <w:rPr>
                <w:rFonts w:ascii="Times New Roman" w:hAnsi="Times New Roman"/>
                <w:b/>
              </w:rPr>
              <w:t>Тиж.16</w:t>
            </w:r>
          </w:p>
          <w:p w:rsidR="005372B3" w:rsidRPr="0011640E" w:rsidRDefault="005372B3" w:rsidP="00E902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53FD" w:rsidRPr="00D75EC4" w:rsidRDefault="00B653FD">
      <w:pPr>
        <w:rPr>
          <w:lang w:val="fr-FR"/>
        </w:rPr>
      </w:pPr>
    </w:p>
    <w:sectPr w:rsidR="00B653FD" w:rsidRPr="00D75EC4" w:rsidSect="009E5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8B6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7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ED564C"/>
    <w:multiLevelType w:val="multilevel"/>
    <w:tmpl w:val="F2265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03B16"/>
    <w:multiLevelType w:val="hybridMultilevel"/>
    <w:tmpl w:val="10D4FBB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2AA2"/>
    <w:multiLevelType w:val="hybridMultilevel"/>
    <w:tmpl w:val="8BF48C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D1983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33F"/>
    <w:multiLevelType w:val="hybridMultilevel"/>
    <w:tmpl w:val="5FB2BE0C"/>
    <w:lvl w:ilvl="0" w:tplc="0422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F7063"/>
    <w:multiLevelType w:val="hybridMultilevel"/>
    <w:tmpl w:val="9122421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079EF"/>
    <w:multiLevelType w:val="hybridMultilevel"/>
    <w:tmpl w:val="EC6CAF46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7B2B"/>
    <w:multiLevelType w:val="hybridMultilevel"/>
    <w:tmpl w:val="E3249404"/>
    <w:lvl w:ilvl="0" w:tplc="0422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B39C5"/>
    <w:multiLevelType w:val="hybridMultilevel"/>
    <w:tmpl w:val="FB06E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F1EB6"/>
    <w:multiLevelType w:val="hybridMultilevel"/>
    <w:tmpl w:val="A98E317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10"/>
  </w:num>
  <w:num w:numId="8">
    <w:abstractNumId w:val="1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E9D"/>
    <w:rsid w:val="000441BB"/>
    <w:rsid w:val="000B3530"/>
    <w:rsid w:val="000D6598"/>
    <w:rsid w:val="00103273"/>
    <w:rsid w:val="001464CA"/>
    <w:rsid w:val="001C6843"/>
    <w:rsid w:val="002B159F"/>
    <w:rsid w:val="002C20AE"/>
    <w:rsid w:val="00380B57"/>
    <w:rsid w:val="004041C5"/>
    <w:rsid w:val="00431F84"/>
    <w:rsid w:val="004B1A5A"/>
    <w:rsid w:val="004D298A"/>
    <w:rsid w:val="005004DD"/>
    <w:rsid w:val="005372B3"/>
    <w:rsid w:val="006062AD"/>
    <w:rsid w:val="0073034A"/>
    <w:rsid w:val="00751C23"/>
    <w:rsid w:val="00784E9D"/>
    <w:rsid w:val="007B1967"/>
    <w:rsid w:val="00935360"/>
    <w:rsid w:val="009E5FC0"/>
    <w:rsid w:val="00A115DF"/>
    <w:rsid w:val="00A45B03"/>
    <w:rsid w:val="00AC6A8C"/>
    <w:rsid w:val="00B23EAA"/>
    <w:rsid w:val="00B33375"/>
    <w:rsid w:val="00B62B61"/>
    <w:rsid w:val="00B653FD"/>
    <w:rsid w:val="00B719AF"/>
    <w:rsid w:val="00BF15C0"/>
    <w:rsid w:val="00BF1856"/>
    <w:rsid w:val="00D435B1"/>
    <w:rsid w:val="00D75EC4"/>
    <w:rsid w:val="00DB7CE9"/>
    <w:rsid w:val="00E420C5"/>
    <w:rsid w:val="00E61626"/>
    <w:rsid w:val="00F835F0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E9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E9D"/>
    <w:rPr>
      <w:color w:val="0066CC"/>
      <w:u w:val="single"/>
    </w:rPr>
  </w:style>
  <w:style w:type="character" w:customStyle="1" w:styleId="2">
    <w:name w:val="Основной текст (2)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header"/>
    <w:basedOn w:val="a"/>
    <w:link w:val="a5"/>
    <w:rsid w:val="00784E9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Верхній колонтитул Знак"/>
    <w:basedOn w:val="a0"/>
    <w:link w:val="a4"/>
    <w:rsid w:val="00784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84E9D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character" w:customStyle="1" w:styleId="markedcontent">
    <w:name w:val="markedcontent"/>
    <w:basedOn w:val="a0"/>
    <w:rsid w:val="00784E9D"/>
  </w:style>
  <w:style w:type="paragraph" w:customStyle="1" w:styleId="1">
    <w:name w:val="Без интервала1"/>
    <w:uiPriority w:val="99"/>
    <w:qFormat/>
    <w:rsid w:val="004D298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customStyle="1" w:styleId="FontStyle59">
    <w:name w:val="Font Style59"/>
    <w:rsid w:val="004D298A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a"/>
    <w:rsid w:val="004D298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1"/>
      <w:lang w:val="ru-RU" w:eastAsia="ru-RU" w:bidi="ar-SA"/>
    </w:rPr>
  </w:style>
  <w:style w:type="character" w:customStyle="1" w:styleId="pg-10fc1">
    <w:name w:val="pg-10fc1"/>
    <w:basedOn w:val="a0"/>
    <w:rsid w:val="004D298A"/>
  </w:style>
  <w:style w:type="character" w:customStyle="1" w:styleId="a7">
    <w:name w:val="_"/>
    <w:basedOn w:val="a0"/>
    <w:rsid w:val="004D298A"/>
  </w:style>
  <w:style w:type="character" w:customStyle="1" w:styleId="FontStyle51">
    <w:name w:val="Font Style51"/>
    <w:rsid w:val="004D298A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D298A"/>
    <w:pPr>
      <w:suppressAutoHyphens/>
      <w:jc w:val="both"/>
    </w:pPr>
    <w:rPr>
      <w:rFonts w:ascii="Times New Roman" w:eastAsia="Times New Roman" w:hAnsi="Times New Roman" w:cs="Times New Roman"/>
      <w:color w:val="00000A"/>
      <w:kern w:val="1"/>
      <w:lang w:bidi="ar-SA"/>
    </w:rPr>
  </w:style>
  <w:style w:type="character" w:customStyle="1" w:styleId="rvts6">
    <w:name w:val="rvts6"/>
    <w:basedOn w:val="a0"/>
    <w:rsid w:val="004D298A"/>
    <w:rPr>
      <w:rFonts w:ascii="Times New Roman" w:hAnsi="Times New Roman" w:cs="Times New Roman"/>
      <w:spacing w:val="-15"/>
      <w:sz w:val="28"/>
      <w:szCs w:val="28"/>
    </w:rPr>
  </w:style>
  <w:style w:type="paragraph" w:customStyle="1" w:styleId="21">
    <w:name w:val="Абзац списка2"/>
    <w:basedOn w:val="a"/>
    <w:rsid w:val="004D298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1"/>
      <w:lang w:val="ru-RU" w:eastAsia="ru-RU" w:bidi="ar-SA"/>
    </w:rPr>
  </w:style>
  <w:style w:type="paragraph" w:customStyle="1" w:styleId="rvps3">
    <w:name w:val="rvps3"/>
    <w:basedOn w:val="a"/>
    <w:rsid w:val="004D298A"/>
    <w:pPr>
      <w:widowControl/>
      <w:suppressAutoHyphens/>
      <w:jc w:val="both"/>
    </w:pPr>
    <w:rPr>
      <w:rFonts w:ascii="Times New Roman" w:eastAsia="Times New Roman" w:hAnsi="Times New Roman" w:cs="Times New Roman"/>
      <w:color w:val="00000A"/>
      <w:kern w:val="1"/>
      <w:lang w:eastAsia="ar-SA" w:bidi="ar-SA"/>
    </w:rPr>
  </w:style>
  <w:style w:type="paragraph" w:customStyle="1" w:styleId="Style32">
    <w:name w:val="Style32"/>
    <w:basedOn w:val="a"/>
    <w:rsid w:val="004D298A"/>
    <w:pPr>
      <w:suppressAutoHyphens/>
    </w:pPr>
    <w:rPr>
      <w:rFonts w:ascii="Times New Roman" w:eastAsia="Times New Roman" w:hAnsi="Times New Roman" w:cs="Times New Roman"/>
      <w:color w:val="00000A"/>
      <w:kern w:val="1"/>
      <w:lang w:bidi="ar-SA"/>
    </w:rPr>
  </w:style>
  <w:style w:type="paragraph" w:customStyle="1" w:styleId="22">
    <w:name w:val="Без интервала2"/>
    <w:rsid w:val="004D29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a"/>
    <w:rsid w:val="004D298A"/>
    <w:pPr>
      <w:suppressAutoHyphens/>
      <w:jc w:val="both"/>
    </w:pPr>
    <w:rPr>
      <w:rFonts w:ascii="Times New Roman" w:eastAsia="Times New Roman" w:hAnsi="Times New Roman" w:cs="Times New Roman"/>
      <w:color w:val="00000A"/>
      <w:kern w:val="1"/>
      <w:lang w:bidi="ar-SA"/>
    </w:rPr>
  </w:style>
  <w:style w:type="paragraph" w:customStyle="1" w:styleId="3">
    <w:name w:val="Абзац списка3"/>
    <w:basedOn w:val="a"/>
    <w:rsid w:val="004D298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1"/>
      <w:lang w:val="ru-RU" w:eastAsia="ru-RU" w:bidi="ar-SA"/>
    </w:rPr>
  </w:style>
  <w:style w:type="character" w:customStyle="1" w:styleId="rvts0">
    <w:name w:val="rvts0"/>
    <w:basedOn w:val="a0"/>
    <w:rsid w:val="006062AD"/>
  </w:style>
  <w:style w:type="paragraph" w:styleId="a8">
    <w:name w:val="No Spacing"/>
    <w:uiPriority w:val="1"/>
    <w:qFormat/>
    <w:rsid w:val="00A115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lex.org/" TargetMode="External"/><Relationship Id="rId13" Type="http://schemas.openxmlformats.org/officeDocument/2006/relationships/hyperlink" Target="https://www.who.int/fr" TargetMode="External"/><Relationship Id="rId18" Type="http://schemas.openxmlformats.org/officeDocument/2006/relationships/hyperlink" Target="http://www.ridi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cc-cpi.int/" TargetMode="External"/><Relationship Id="rId12" Type="http://schemas.openxmlformats.org/officeDocument/2006/relationships/hyperlink" Target="https://www.wipo.int/portal/fr/" TargetMode="External"/><Relationship Id="rId17" Type="http://schemas.openxmlformats.org/officeDocument/2006/relationships/hyperlink" Target="https://europa.eu/european-union/index_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to.org/indexfr.htm" TargetMode="External"/><Relationship Id="rId20" Type="http://schemas.openxmlformats.org/officeDocument/2006/relationships/hyperlink" Target="https://www.village-justice.com/artic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cj-cij.org/fr" TargetMode="External"/><Relationship Id="rId11" Type="http://schemas.openxmlformats.org/officeDocument/2006/relationships/hyperlink" Target="https://www.imf.org/fr/Home" TargetMode="External"/><Relationship Id="rId5" Type="http://schemas.openxmlformats.org/officeDocument/2006/relationships/hyperlink" Target="https://www.eca.europa.eu/fr/Pages/ecadefault.aspx" TargetMode="External"/><Relationship Id="rId15" Type="http://schemas.openxmlformats.org/officeDocument/2006/relationships/hyperlink" Target="https://www.un.org/fr/" TargetMode="External"/><Relationship Id="rId10" Type="http://schemas.openxmlformats.org/officeDocument/2006/relationships/hyperlink" Target="https://www.dalloz.fr/" TargetMode="External"/><Relationship Id="rId19" Type="http://schemas.openxmlformats.org/officeDocument/2006/relationships/hyperlink" Target="https://en.unes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tribunal.org/" TargetMode="External"/><Relationship Id="rId14" Type="http://schemas.openxmlformats.org/officeDocument/2006/relationships/hyperlink" Target="http://www.wcoomd.org/fr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10</Pages>
  <Words>14517</Words>
  <Characters>8276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2021-11-07T23:36:00Z</dcterms:created>
  <dcterms:modified xsi:type="dcterms:W3CDTF">2022-09-13T18:45:00Z</dcterms:modified>
</cp:coreProperties>
</file>